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7D07" w14:textId="77777777" w:rsidR="00497995" w:rsidRPr="00B21283" w:rsidRDefault="00497995" w:rsidP="00257271">
      <w:pPr>
        <w:pStyle w:val="ConsPlusNormal"/>
        <w:jc w:val="center"/>
      </w:pPr>
      <w:r>
        <w:rPr>
          <w:rFonts w:ascii="Times New Roman" w:hAnsi="Times New Roman" w:cs="Times New Roman"/>
          <w:sz w:val="20"/>
        </w:rPr>
        <w:t xml:space="preserve">ДОГОВОР </w:t>
      </w:r>
      <w:r w:rsidRPr="00B21283">
        <w:rPr>
          <w:rFonts w:ascii="Times New Roman" w:hAnsi="Times New Roman" w:cs="Times New Roman"/>
          <w:sz w:val="20"/>
        </w:rPr>
        <w:t>№ ________________/ТКО</w:t>
      </w:r>
    </w:p>
    <w:p w14:paraId="28464964" w14:textId="77777777" w:rsidR="00497995" w:rsidRPr="00B21283" w:rsidRDefault="00497995" w:rsidP="00257271">
      <w:pPr>
        <w:pStyle w:val="ConsPlusNormal"/>
        <w:jc w:val="center"/>
      </w:pPr>
      <w:r w:rsidRPr="00B21283">
        <w:rPr>
          <w:rFonts w:ascii="Times New Roman" w:hAnsi="Times New Roman" w:cs="Times New Roman"/>
          <w:sz w:val="20"/>
        </w:rPr>
        <w:t>на оказание услуг по обращению с твердыми</w:t>
      </w:r>
    </w:p>
    <w:p w14:paraId="2B7A3E9F" w14:textId="77777777" w:rsidR="00497995" w:rsidRPr="00B21283" w:rsidRDefault="00497995" w:rsidP="00257271">
      <w:pPr>
        <w:pStyle w:val="ConsPlusNormal"/>
        <w:jc w:val="center"/>
      </w:pPr>
      <w:r w:rsidRPr="00B21283">
        <w:rPr>
          <w:rFonts w:ascii="Times New Roman" w:hAnsi="Times New Roman" w:cs="Times New Roman"/>
          <w:sz w:val="20"/>
        </w:rPr>
        <w:t>коммунальными отходами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497995" w:rsidRPr="00AC65AD" w14:paraId="06A83E31" w14:textId="77777777" w:rsidTr="00FC65B6">
        <w:tc>
          <w:tcPr>
            <w:tcW w:w="4814" w:type="dxa"/>
          </w:tcPr>
          <w:p w14:paraId="0BC12392" w14:textId="77777777" w:rsidR="00497995" w:rsidRPr="00B21283" w:rsidRDefault="00497995" w:rsidP="00257271">
            <w:pPr>
              <w:ind w:hanging="10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1283">
              <w:rPr>
                <w:rFonts w:ascii="Times New Roman" w:eastAsia="Times New Roman" w:hAnsi="Times New Roman"/>
                <w:sz w:val="20"/>
                <w:szCs w:val="20"/>
              </w:rPr>
              <w:t>г. Киров</w:t>
            </w:r>
          </w:p>
        </w:tc>
        <w:tc>
          <w:tcPr>
            <w:tcW w:w="4815" w:type="dxa"/>
          </w:tcPr>
          <w:p w14:paraId="0B7E484C" w14:textId="77777777" w:rsidR="00497995" w:rsidRPr="0091785B" w:rsidRDefault="00497995" w:rsidP="002572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21283">
              <w:rPr>
                <w:rFonts w:ascii="Times New Roman" w:eastAsia="Times New Roman" w:hAnsi="Times New Roman"/>
                <w:sz w:val="20"/>
                <w:szCs w:val="20"/>
              </w:rPr>
              <w:t>_______________ г</w:t>
            </w:r>
            <w:r w:rsidRPr="00B2128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48528063" w14:textId="763E287C" w:rsidR="0044529C" w:rsidRPr="002B30D0" w:rsidRDefault="00E31410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CE197D2" w14:textId="73FEACCE" w:rsidR="00E31410" w:rsidRPr="002B30D0" w:rsidRDefault="00E31410" w:rsidP="00257271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bookmarkStart w:id="0" w:name="_Hlk179807559"/>
      <w:r w:rsidRPr="002B30D0">
        <w:rPr>
          <w:rFonts w:ascii="Times New Roman" w:hAnsi="Times New Roman" w:cs="Times New Roman"/>
          <w:color w:val="000000" w:themeColor="text1"/>
        </w:rPr>
        <w:t>Акционерное общество «Куприт», именуемое в дальнейшем «Региональный оператор», в лице</w:t>
      </w:r>
      <w:bookmarkStart w:id="1" w:name="_Hlk53143959"/>
      <w:r w:rsidRPr="002B30D0">
        <w:rPr>
          <w:rFonts w:ascii="Times New Roman" w:hAnsi="Times New Roman" w:cs="Times New Roman"/>
          <w:color w:val="000000" w:themeColor="text1"/>
        </w:rPr>
        <w:t xml:space="preserve"> генерального директора </w:t>
      </w:r>
      <w:proofErr w:type="spellStart"/>
      <w:r w:rsidRPr="002B30D0">
        <w:rPr>
          <w:rFonts w:ascii="Times New Roman" w:hAnsi="Times New Roman" w:cs="Times New Roman"/>
          <w:color w:val="000000" w:themeColor="text1"/>
        </w:rPr>
        <w:t>Гизатуллина</w:t>
      </w:r>
      <w:proofErr w:type="spellEnd"/>
      <w:r w:rsidRPr="002B30D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B30D0">
        <w:rPr>
          <w:rFonts w:ascii="Times New Roman" w:hAnsi="Times New Roman" w:cs="Times New Roman"/>
          <w:color w:val="000000" w:themeColor="text1"/>
        </w:rPr>
        <w:t>Ильдуса</w:t>
      </w:r>
      <w:proofErr w:type="spellEnd"/>
      <w:r w:rsidRPr="002B30D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B30D0">
        <w:rPr>
          <w:rFonts w:ascii="Times New Roman" w:hAnsi="Times New Roman" w:cs="Times New Roman"/>
          <w:color w:val="000000" w:themeColor="text1"/>
        </w:rPr>
        <w:t>Мохтаровича</w:t>
      </w:r>
      <w:proofErr w:type="spellEnd"/>
      <w:r w:rsidRPr="002B30D0">
        <w:rPr>
          <w:rFonts w:ascii="Times New Roman" w:hAnsi="Times New Roman" w:cs="Times New Roman"/>
          <w:color w:val="000000" w:themeColor="text1"/>
        </w:rPr>
        <w:t>, действующего</w:t>
      </w:r>
      <w:bookmarkEnd w:id="1"/>
      <w:r w:rsidRPr="002B30D0">
        <w:rPr>
          <w:rFonts w:ascii="Times New Roman" w:hAnsi="Times New Roman" w:cs="Times New Roman"/>
          <w:color w:val="000000" w:themeColor="text1"/>
        </w:rPr>
        <w:t xml:space="preserve"> на основании Устава, с одной стороны, и </w:t>
      </w:r>
      <w:r w:rsidR="00A92928">
        <w:rPr>
          <w:rFonts w:ascii="Times New Roman" w:hAnsi="Times New Roman" w:cs="Times New Roman"/>
          <w:color w:val="000000" w:themeColor="text1"/>
        </w:rPr>
        <w:t>_________________________________</w:t>
      </w:r>
      <w:r w:rsidRPr="002B30D0">
        <w:rPr>
          <w:rFonts w:ascii="Times New Roman" w:hAnsi="Times New Roman" w:cs="Times New Roman"/>
          <w:color w:val="000000" w:themeColor="text1"/>
        </w:rPr>
        <w:t>________________________________, именуемое в дальнейшем «</w:t>
      </w:r>
      <w:bookmarkStart w:id="2" w:name="_Hlk179807430"/>
      <w:r w:rsidRPr="002B30D0">
        <w:rPr>
          <w:rFonts w:ascii="Times New Roman" w:hAnsi="Times New Roman" w:cs="Times New Roman"/>
          <w:color w:val="000000" w:themeColor="text1"/>
        </w:rPr>
        <w:t xml:space="preserve">Уполномоченная организация», в лице ________________________, действующего(ей) на основании __________________, </w:t>
      </w:r>
      <w:bookmarkEnd w:id="2"/>
      <w:r w:rsidRPr="002B30D0">
        <w:rPr>
          <w:rFonts w:ascii="Times New Roman" w:hAnsi="Times New Roman" w:cs="Times New Roman"/>
          <w:color w:val="000000" w:themeColor="text1"/>
        </w:rPr>
        <w:t>с другой стороны, именуемые в дальнейшем «Стороны», заключили настоящий договор о нижеследующем:</w:t>
      </w:r>
    </w:p>
    <w:bookmarkEnd w:id="0"/>
    <w:p w14:paraId="2BDA48A4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0217545" w14:textId="2BDADD6B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I. Предмет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оговора</w:t>
      </w:r>
    </w:p>
    <w:p w14:paraId="715869DD" w14:textId="59323A64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настоящему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оговору региональный оператор обязуется принимать </w:t>
      </w:r>
      <w:r w:rsidR="00891B22">
        <w:rPr>
          <w:rFonts w:ascii="Times New Roman" w:hAnsi="Times New Roman" w:cs="Times New Roman"/>
          <w:color w:val="000000" w:themeColor="text1"/>
          <w:sz w:val="20"/>
          <w:szCs w:val="20"/>
        </w:rPr>
        <w:t>т</w:t>
      </w:r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вердые коммунальные отходы (далее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bookmarkStart w:id="3" w:name="_Hlk211345256"/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bookmarkEnd w:id="3"/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объеме и (или) массе и в месте, которые определены в настоящем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оговоре, и обеспечивать их транспортирование, обработку, энергетическую утилизацию, утилизацию </w:t>
      </w:r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</w:t>
      </w:r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законодательством Российской Федерации, а </w:t>
      </w:r>
      <w:r w:rsidR="00371F36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полномоченная организация обязуется оплачивать услуги регионального оператора по обращению с </w:t>
      </w:r>
      <w:r w:rsidR="00891B22" w:rsidRPr="00891B22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- услуги) по цене, определенной в пределах утвержденного единого тарифа на услугу регионального оператора.</w:t>
      </w:r>
    </w:p>
    <w:p w14:paraId="67E23792" w14:textId="5A134F7A" w:rsidR="0044529C" w:rsidRPr="002B30D0" w:rsidRDefault="00371F36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 Объем и (или) масса </w:t>
      </w:r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места (площадки) накопления </w:t>
      </w:r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 том числе крупногабаритных отходов, способ складирования </w:t>
      </w:r>
      <w:r w:rsidR="0044529C" w:rsidRPr="00ED44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</w:t>
      </w:r>
      <w:r w:rsidR="00B17B13" w:rsidRPr="00ED44F8">
        <w:rPr>
          <w:rFonts w:ascii="Times New Roman" w:hAnsi="Times New Roman" w:cs="Times New Roman"/>
          <w:color w:val="000000" w:themeColor="text1"/>
          <w:sz w:val="20"/>
          <w:szCs w:val="20"/>
        </w:rPr>
        <w:t>график</w:t>
      </w:r>
      <w:r w:rsidR="0044529C" w:rsidRPr="00ED44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вывоза, а также инф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ормация о размещении мест (площадок) накопления </w:t>
      </w:r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определяются </w:t>
      </w:r>
      <w:bookmarkStart w:id="4" w:name="_Hlk205450557"/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соответствии с Информацией по предмету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оговора на оказание услуг по обращению с ТКО, которая является </w:t>
      </w:r>
      <w:hyperlink w:anchor="Par177" w:history="1">
        <w:r w:rsidR="00941B7B">
          <w:rPr>
            <w:rFonts w:ascii="Times New Roman" w:hAnsi="Times New Roman" w:cs="Times New Roman"/>
            <w:color w:val="000000" w:themeColor="text1"/>
            <w:sz w:val="20"/>
            <w:szCs w:val="20"/>
          </w:rPr>
          <w:t>П</w:t>
        </w:r>
        <w:r w:rsidR="0044529C" w:rsidRPr="002B30D0">
          <w:rPr>
            <w:rFonts w:ascii="Times New Roman" w:hAnsi="Times New Roman" w:cs="Times New Roman"/>
            <w:color w:val="000000" w:themeColor="text1"/>
            <w:sz w:val="20"/>
            <w:szCs w:val="20"/>
          </w:rPr>
          <w:t>риложени</w:t>
        </w:r>
        <w:r w:rsidRPr="002B30D0">
          <w:rPr>
            <w:rFonts w:ascii="Times New Roman" w:hAnsi="Times New Roman" w:cs="Times New Roman"/>
            <w:color w:val="000000" w:themeColor="text1"/>
            <w:sz w:val="20"/>
            <w:szCs w:val="20"/>
          </w:rPr>
          <w:t>ем</w:t>
        </w:r>
      </w:hyperlink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№1 к настоящему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оговору. </w:t>
      </w:r>
      <w:bookmarkEnd w:id="4"/>
    </w:p>
    <w:p w14:paraId="6C7AD8A4" w14:textId="5595E31A" w:rsidR="0044529C" w:rsidRPr="002B30D0" w:rsidRDefault="00371F36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Датой начала оказания услуг считается </w:t>
      </w:r>
      <w:bookmarkStart w:id="5" w:name="_Hlk211344300"/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"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___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"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___________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r w:rsidR="00C128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End w:id="5"/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г.</w:t>
      </w:r>
    </w:p>
    <w:p w14:paraId="7AB87E23" w14:textId="364B564E" w:rsidR="00AA32C5" w:rsidRPr="002B30D0" w:rsidRDefault="00AA32C5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1.4. Уполномоченная организация заключает настоящий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оговор и оплачивает услуги в соответствии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с жилищным законодательством.</w:t>
      </w:r>
    </w:p>
    <w:p w14:paraId="3FD60E67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1F364F4" w14:textId="62D5C664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II. Сроки и порядок оплаты по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оговору</w:t>
      </w:r>
    </w:p>
    <w:p w14:paraId="38654AE1" w14:textId="466C62CD" w:rsidR="00AA32C5" w:rsidRPr="002B30D0" w:rsidRDefault="00371F36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2.1.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Под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расчетным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периодом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настоящем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договоре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понимается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один</w:t>
      </w:r>
      <w:r w:rsidR="00AA32C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календарный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месяц.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Оплата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услуг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настоящем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оговоре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осуществляется</w:t>
      </w:r>
      <w:r w:rsidR="00AA32C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цене,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определенной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пределах утвержденного единого тарифа на услугу</w:t>
      </w:r>
      <w:r w:rsidR="00EF009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регионального оператора:</w:t>
      </w:r>
      <w:r w:rsidR="00AA32C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24C9FFE" w14:textId="5D56DE64" w:rsidR="00226CC8" w:rsidRPr="002B30D0" w:rsidRDefault="00226CC8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2B30D0">
        <w:rPr>
          <w:rFonts w:ascii="Times New Roman" w:eastAsia="Lucida Sans Unicode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с 01.12.2022 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30.06.2024 </w:t>
      </w:r>
      <w:r w:rsidRPr="002B30D0">
        <w:rPr>
          <w:rFonts w:ascii="Times New Roman" w:eastAsia="Lucida Sans Unicode" w:hAnsi="Times New Roman" w:cs="Times New Roman"/>
          <w:color w:val="000000" w:themeColor="text1"/>
          <w:sz w:val="20"/>
          <w:szCs w:val="20"/>
          <w:shd w:val="clear" w:color="auto" w:fill="FFFFFF"/>
        </w:rPr>
        <w:t>тариф составляет 911,26 руб. за куб. метр (девятьсот одиннадцать рублей двадцать шесть копеек), без НДС</w:t>
      </w:r>
      <w:r w:rsidR="002E5BA4">
        <w:rPr>
          <w:rFonts w:ascii="Times New Roman" w:eastAsia="Lucida Sans Unicode" w:hAnsi="Times New Roman" w:cs="Times New Roman"/>
          <w:color w:val="000000" w:themeColor="text1"/>
          <w:sz w:val="20"/>
          <w:szCs w:val="20"/>
          <w:shd w:val="clear" w:color="auto" w:fill="FFFFFF"/>
        </w:rPr>
        <w:t>;</w:t>
      </w:r>
    </w:p>
    <w:p w14:paraId="00A2B7AE" w14:textId="24DFFA58" w:rsidR="00226CC8" w:rsidRPr="002B30D0" w:rsidRDefault="00226CC8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>с 01.07.2024 по 31.12.2024 тариф составляет 997,76 руб. за куб. метр (девятьсот девяносто семь рублей семьдесят шесть копеек), без НДС</w:t>
      </w:r>
      <w:r w:rsidR="002E5BA4">
        <w:rPr>
          <w:rFonts w:ascii="Times New Roman" w:hAnsi="Times New Roman" w:cs="Times New Roman"/>
          <w:color w:val="000000" w:themeColor="text1"/>
          <w:sz w:val="20"/>
        </w:rPr>
        <w:t>;</w:t>
      </w:r>
    </w:p>
    <w:p w14:paraId="7D6D50F8" w14:textId="2403014A" w:rsidR="00226CC8" w:rsidRPr="002B30D0" w:rsidRDefault="00226CC8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>с 01.01.2025 по 30.06.2025 тариф составляет 997,76 руб. за куб. метр (девятьсот девяносто семь рублей семьдесят шесть копеек), без НДС</w:t>
      </w:r>
      <w:r w:rsidR="002E5BA4">
        <w:rPr>
          <w:rFonts w:ascii="Times New Roman" w:hAnsi="Times New Roman" w:cs="Times New Roman"/>
          <w:color w:val="000000" w:themeColor="text1"/>
          <w:sz w:val="20"/>
        </w:rPr>
        <w:t>;</w:t>
      </w:r>
    </w:p>
    <w:p w14:paraId="0280A0FC" w14:textId="77777777" w:rsidR="00C120BA" w:rsidRPr="002B30D0" w:rsidRDefault="00C120BA" w:rsidP="00257271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с 01.07.2025 по 31.12.2025 тариф составляет 1099,64 руб. за куб. метр (одна тысяча девяноста девять рублей шестьдесят четыре копейки), без НДС. </w:t>
      </w:r>
    </w:p>
    <w:p w14:paraId="65C8343A" w14:textId="77777777" w:rsidR="00226CC8" w:rsidRPr="002B30D0" w:rsidRDefault="00226CC8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>С 01.01.2020 налог на добавленную стоимость не взимается в соответствии со статьей 149 Налогового кодекса Российской Федерации (с изменениями, внесенными ФЗ от 26.07.2019 № 211-ФЗ «О внесении изменений в главы 21 и 25 части второй Налогового кодекса Российской Федерации»).</w:t>
      </w:r>
    </w:p>
    <w:p w14:paraId="3865C6F4" w14:textId="5BFAF333" w:rsidR="00226CC8" w:rsidRPr="002B30D0" w:rsidRDefault="00226CC8" w:rsidP="002572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2.2. 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оператора. </w:t>
      </w:r>
    </w:p>
    <w:p w14:paraId="338E5423" w14:textId="6DEF442A" w:rsidR="00226CC8" w:rsidRPr="002B30D0" w:rsidRDefault="00226CC8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Информирование </w:t>
      </w:r>
      <w:r w:rsidR="00557ED5" w:rsidRPr="002B30D0">
        <w:rPr>
          <w:rFonts w:ascii="Times New Roman" w:hAnsi="Times New Roman" w:cs="Times New Roman"/>
          <w:color w:val="000000" w:themeColor="text1"/>
          <w:sz w:val="20"/>
        </w:rPr>
        <w:t>Уполномоченной организации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 о едином тарифе на услугу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</w:rPr>
        <w:t>р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осуществляется </w:t>
      </w:r>
      <w:r w:rsidR="006676C4" w:rsidRPr="002B30D0">
        <w:rPr>
          <w:rFonts w:ascii="Times New Roman" w:hAnsi="Times New Roman" w:cs="Times New Roman"/>
          <w:color w:val="000000" w:themeColor="text1"/>
          <w:sz w:val="20"/>
        </w:rPr>
        <w:t>р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егиональным оператором путем публикации в средствах массовой информации и/или размещения информации на официальном сайте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</w:rPr>
        <w:t>р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>егионального оператора «cuprit.ru».</w:t>
      </w:r>
    </w:p>
    <w:p w14:paraId="763E7FDA" w14:textId="5F436932" w:rsidR="00226CC8" w:rsidRPr="002B30D0" w:rsidRDefault="00226CC8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После размещения информации на официальном сайте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</w:rPr>
        <w:t>р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«cuprit.ru» о новой цене на услуги, оказываемые в рамках настоящего </w:t>
      </w:r>
      <w:r w:rsidR="002E5BA4">
        <w:rPr>
          <w:rFonts w:ascii="Times New Roman" w:hAnsi="Times New Roman" w:cs="Times New Roman"/>
          <w:color w:val="000000" w:themeColor="text1"/>
          <w:sz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оговора, цена является согласованной обеими </w:t>
      </w:r>
      <w:r w:rsidR="00360DF0">
        <w:rPr>
          <w:rFonts w:ascii="Times New Roman" w:hAnsi="Times New Roman" w:cs="Times New Roman"/>
          <w:color w:val="000000" w:themeColor="text1"/>
          <w:sz w:val="20"/>
        </w:rPr>
        <w:t>с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торонами, а услуги подлежат оплате по новой цене, подписание дополнительного соглашения не требуется. </w:t>
      </w:r>
    </w:p>
    <w:p w14:paraId="1D4F6F60" w14:textId="2D9EF98A" w:rsidR="0044529C" w:rsidRPr="002B30D0" w:rsidRDefault="001E736B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2.3.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Региональный оператор представляет </w:t>
      </w:r>
      <w:r w:rsidR="00226CC8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полномоченной организации платежный документ не позднее </w:t>
      </w:r>
      <w:r w:rsidR="00226CC8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-го числа месяца, следующего за истекшим расчетным периодом, за который производится оплата</w:t>
      </w:r>
      <w:r w:rsidR="00E7699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1D3E0B29" w14:textId="4FAD0F7A" w:rsidR="001E736B" w:rsidRPr="002B30D0" w:rsidRDefault="001E736B" w:rsidP="002572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случае 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неполучения по каким-либо причинам платежного документа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Уполномоченная организация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обязан</w:t>
      </w:r>
      <w:r w:rsidR="00EF009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для надлежащего исполнения обязательства по оплате получить дубликат платежного документа путем обращения в адрес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егионального оператора. В случае отсутствия обращения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Уполномоченной организации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платежный документ считается полученным им в необходимый для оплаты в соответствии с условиями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оговора срок.</w:t>
      </w:r>
    </w:p>
    <w:p w14:paraId="703EDC17" w14:textId="35F33BF7" w:rsidR="001E736B" w:rsidRPr="002B30D0" w:rsidRDefault="001E736B" w:rsidP="00257271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распространения действия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оговора на прошедшее время, оказанные до момента заключения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оговора услуги включаются в счета (счета-фактуры) и акты оказанных услуг, которые подлежат получению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Уполномоченной организацией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течение 10 календарных дней с момента окончания первого расчетного периода.</w:t>
      </w:r>
    </w:p>
    <w:p w14:paraId="11B70D86" w14:textId="3D61C8C7" w:rsidR="001E736B" w:rsidRPr="002B30D0" w:rsidRDefault="001E736B" w:rsidP="002572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2.4. </w:t>
      </w:r>
      <w:r w:rsidR="00226CC8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Уполномоченная организация оплачивает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услуги </w:t>
      </w:r>
      <w:r w:rsidR="00226CC8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регионального оператора 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до 1</w:t>
      </w:r>
      <w:r w:rsidR="00490A6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-го числа месяца, следующего за месяцем, в котором были оказаны услуги.</w:t>
      </w:r>
    </w:p>
    <w:p w14:paraId="6382CC90" w14:textId="53E46DC0" w:rsidR="0044529C" w:rsidRPr="002B30D0" w:rsidRDefault="0081532B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2.5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Сверка расчетов по настоящему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оговору проводится между региональным оператором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</w:t>
      </w:r>
      <w:r w:rsidR="00557ED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полномоченной организацией не реже чем один раз в год по инициативе одной из сторон путем составления и подписания сторонами соответствующего акта.</w:t>
      </w:r>
    </w:p>
    <w:p w14:paraId="2BEEAD38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</w:r>
      <w:proofErr w:type="spellStart"/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факсограмма</w:t>
      </w:r>
      <w:proofErr w:type="spellEnd"/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, телефонограмма, информационно-телекоммуникационная сеть "Интернет"), позволяющим подтвердить получение такого акта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7E780F50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сторонами.</w:t>
      </w:r>
    </w:p>
    <w:p w14:paraId="5EF06553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6C0555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III. Права и обязанности сторон</w:t>
      </w:r>
    </w:p>
    <w:p w14:paraId="4D613937" w14:textId="1582C100" w:rsidR="0044529C" w:rsidRPr="00B72005" w:rsidRDefault="0081532B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3.1</w:t>
      </w:r>
      <w:r w:rsidR="0044529C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. Региональный оператор обязан:</w:t>
      </w:r>
    </w:p>
    <w:p w14:paraId="25DCCE8B" w14:textId="3BD25AAD" w:rsidR="0044529C" w:rsidRPr="00B72005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принимать </w:t>
      </w:r>
      <w:r w:rsidR="00205500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объеме и (или) массе и в месте, которые предусмотрены в </w:t>
      </w:r>
      <w:hyperlink w:anchor="Par177" w:history="1">
        <w:r w:rsidR="00941B7B">
          <w:rPr>
            <w:rFonts w:ascii="Times New Roman" w:hAnsi="Times New Roman" w:cs="Times New Roman"/>
            <w:color w:val="000000" w:themeColor="text1"/>
            <w:sz w:val="20"/>
            <w:szCs w:val="20"/>
          </w:rPr>
          <w:t>П</w:t>
        </w:r>
        <w:r w:rsidRPr="00B72005">
          <w:rPr>
            <w:rFonts w:ascii="Times New Roman" w:hAnsi="Times New Roman" w:cs="Times New Roman"/>
            <w:color w:val="000000" w:themeColor="text1"/>
            <w:sz w:val="20"/>
            <w:szCs w:val="20"/>
          </w:rPr>
          <w:t>риложении</w:t>
        </w:r>
      </w:hyperlink>
      <w:r w:rsidR="0081532B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№1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 настоящему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оговору;</w:t>
      </w:r>
    </w:p>
    <w:p w14:paraId="22EC82FD" w14:textId="0FED783E" w:rsidR="0044529C" w:rsidRPr="00B72005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обеспечивать транспортирование, обработку, энергетическую утилизацию, утилизацию </w:t>
      </w:r>
      <w:r w:rsidR="00205500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принятых </w:t>
      </w:r>
      <w:r w:rsidR="00205500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законодательством Российской Федерации;</w:t>
      </w:r>
    </w:p>
    <w:p w14:paraId="6669EB3D" w14:textId="2A18EBBA" w:rsidR="0044529C" w:rsidRPr="00B72005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представлять </w:t>
      </w:r>
      <w:r w:rsidR="00557ED5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полномоченной организации информацию в соответствии со стандартами раскрытия информации в области обращения с </w:t>
      </w:r>
      <w:r w:rsidR="0081532B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1532B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путем размещения ее на официальном сайте </w:t>
      </w:r>
      <w:r w:rsidR="00EF009A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81532B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егионального оператора «cuprit.ru»;</w:t>
      </w:r>
    </w:p>
    <w:p w14:paraId="0872805E" w14:textId="72D8F843" w:rsidR="0044529C" w:rsidRPr="00B72005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г) отвечать на жалобы и обращения </w:t>
      </w:r>
      <w:r w:rsidR="00557ED5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полномоченной организации по вопросам, связанным с исполнением настоящего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оговора, в течение </w:t>
      </w:r>
      <w:r w:rsidR="00205500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30 календарных дней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BB35DA2" w14:textId="21B1AB7C" w:rsidR="0044529C" w:rsidRPr="00B72005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д) не допускать повреждения контейнеров и (или) бункеров, принадлежащих </w:t>
      </w:r>
      <w:r w:rsidR="00557ED5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полномоченной организации на праве собственности или ином законном основании, при осуществлении вывоза </w:t>
      </w:r>
      <w:r w:rsidR="00205500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B1BCE45" w14:textId="77777777" w:rsidR="0044529C" w:rsidRPr="00B72005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е) 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14C4EC4F" w14:textId="16666CCE" w:rsidR="0044529C" w:rsidRPr="00B72005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ж) осуществлять действия по подбору оброненных (просыпавшихся) при погрузке </w:t>
      </w:r>
      <w:r w:rsidR="00205500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перемещению их в мусоровоз.</w:t>
      </w:r>
    </w:p>
    <w:p w14:paraId="61AA51DD" w14:textId="1DDCB482" w:rsidR="0044529C" w:rsidRPr="00B72005" w:rsidRDefault="0081532B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3.2.</w:t>
      </w:r>
      <w:r w:rsidR="0044529C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Региональный оператор имеет право:</w:t>
      </w:r>
    </w:p>
    <w:p w14:paraId="5E1369D8" w14:textId="2FA48249" w:rsidR="0044529C" w:rsidRPr="00B72005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обеспечивать учет объема и (или) массы </w:t>
      </w:r>
      <w:r w:rsidR="00205500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</w:t>
      </w:r>
      <w:hyperlink r:id="rId8" w:history="1">
        <w:r w:rsidRPr="00B72005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</w:t>
      </w:r>
      <w:r w:rsidR="00205500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утвержденными постановлением Правительства Российской Федерации от 24 мая 2024 г. </w:t>
      </w:r>
      <w:r w:rsidR="000C28F1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C128C0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 </w:t>
      </w:r>
      <w:r w:rsidR="00205500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29D06627" w14:textId="5DBBCFBA" w:rsidR="0044529C" w:rsidRPr="00B72005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инициировать проведение сверки расчетов по настоящему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оговору;</w:t>
      </w:r>
    </w:p>
    <w:p w14:paraId="6B655D66" w14:textId="67343525" w:rsidR="003A1FE2" w:rsidRPr="00B72005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</w:t>
      </w:r>
      <w:r w:rsidR="0081532B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устанавливать требования к 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контейнер</w:t>
      </w:r>
      <w:r w:rsidR="0081532B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ам (бункерам) для ТКО в части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объем</w:t>
      </w:r>
      <w:r w:rsidR="0081532B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, тип</w:t>
      </w:r>
      <w:r w:rsidR="004F22AB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корпуса и ходовой части, а также способ</w:t>
      </w:r>
      <w:r w:rsidR="004F22AB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захвата контейнера для целей обеспечения транспортирования </w:t>
      </w:r>
      <w:r w:rsidR="00205500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соответствующими транспортными средствами.</w:t>
      </w:r>
      <w:r w:rsidR="003A1FE2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Требования к контейнерам и бункерам размещаются </w:t>
      </w:r>
      <w:r w:rsidR="00EF009A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3A1FE2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егиональным оператором </w:t>
      </w:r>
      <w:r w:rsidR="000C28F1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3A1FE2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на официальном сайте «cuprit.ru»;</w:t>
      </w:r>
    </w:p>
    <w:p w14:paraId="74ADFE03" w14:textId="39FF4315" w:rsidR="00915ADD" w:rsidRPr="00B72005" w:rsidRDefault="00915ADD" w:rsidP="002572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г) запрашивать у Уполномоченной организации необходимую информацию, производить проверку достоверности заявленных </w:t>
      </w:r>
      <w:r w:rsidR="00EF009A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Уполномоченной организацией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сведений о количестве образуемых ТКО, составлять акты;</w:t>
      </w:r>
    </w:p>
    <w:p w14:paraId="51F6BA6A" w14:textId="3A497468" w:rsidR="00915ADD" w:rsidRPr="00B72005" w:rsidRDefault="00915ADD" w:rsidP="002572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д) в случае выявления фактов несоответствия предоставленных Уполномоченной организацией сведений о количестве расчетных единиц, </w:t>
      </w:r>
      <w:r w:rsidRPr="002E5BA4">
        <w:rPr>
          <w:rFonts w:ascii="Times New Roman" w:hAnsi="Times New Roman" w:cs="Times New Roman"/>
          <w:color w:val="000000" w:themeColor="text1"/>
          <w:sz w:val="20"/>
          <w:szCs w:val="20"/>
        </w:rPr>
        <w:t>типе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объеме контейнеров, </w:t>
      </w:r>
      <w:r w:rsidR="00EF009A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егиональный оператор имеет право </w:t>
      </w:r>
      <w:r w:rsidR="000C28F1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одностороннем порядке произвести перерасчет платы за оказанные услуги с начала действия настоящего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оговора, которые подлежат оплате Уполномоченной организацией в полном объеме.</w:t>
      </w:r>
    </w:p>
    <w:p w14:paraId="7CB6F1FF" w14:textId="62FAE633" w:rsidR="0044529C" w:rsidRPr="00B72005" w:rsidRDefault="00915ADD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3.3</w:t>
      </w:r>
      <w:r w:rsidR="0044529C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557ED5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44529C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полномоченная организация обязан</w:t>
      </w:r>
      <w:r w:rsidR="00557ED5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44529C" w:rsidRPr="00B72005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116EBE13" w14:textId="1234AE4A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осуществлять складирование </w:t>
      </w:r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местах (площадках) накопления </w:t>
      </w:r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определенных </w:t>
      </w:r>
      <w:hyperlink w:anchor="Par177" w:history="1">
        <w:r w:rsidR="00941B7B">
          <w:rPr>
            <w:rFonts w:ascii="Times New Roman" w:hAnsi="Times New Roman" w:cs="Times New Roman"/>
            <w:color w:val="000000" w:themeColor="text1"/>
            <w:sz w:val="20"/>
            <w:szCs w:val="20"/>
          </w:rPr>
          <w:t>П</w:t>
        </w:r>
        <w:r w:rsidRPr="002B30D0">
          <w:rPr>
            <w:rFonts w:ascii="Times New Roman" w:hAnsi="Times New Roman" w:cs="Times New Roman"/>
            <w:color w:val="000000" w:themeColor="text1"/>
            <w:sz w:val="20"/>
            <w:szCs w:val="20"/>
          </w:rPr>
          <w:t>риложением</w:t>
        </w:r>
      </w:hyperlink>
      <w:r w:rsidR="00915ADD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№1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 настоящему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оговору, в соответствии с реестром мест (площадок) накопления </w:t>
      </w:r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или иным способом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соответствии с Правилами обращения с твердыми коммунальными отходами, утвержденными постановлением Правительства Российской Федерации от 7 марта 2025 г. </w:t>
      </w:r>
      <w:r w:rsidR="00C128C0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отходами";</w:t>
      </w:r>
    </w:p>
    <w:p w14:paraId="7C952B13" w14:textId="77777777" w:rsidR="00694488" w:rsidRPr="002B30D0" w:rsidRDefault="00915ADD" w:rsidP="002572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</w:t>
      </w:r>
      <w:r w:rsidR="00694488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использования собственного места накопления ТКО оборудовать и содержать место (площадку) накопления ТКО в соответствии с требованиями СанПиН 2.1.3684-21, а также требованиями регионального оператора, размещенными на сайте «cuprit.ru»; </w:t>
      </w:r>
    </w:p>
    <w:p w14:paraId="17363111" w14:textId="227BA5D2" w:rsidR="00915ADD" w:rsidRPr="002B30D0" w:rsidRDefault="00915ADD" w:rsidP="002572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не использовать оборудование для накопления ТКО, не позволяющее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егиональному оператору осуществлять оказание услуг по Договору (в т.ч. не позволяющее осуществить механизированную погрузку ТКО);</w:t>
      </w:r>
    </w:p>
    <w:p w14:paraId="15FD1BDC" w14:textId="7E030607" w:rsidR="00AD4D95" w:rsidRPr="002B30D0" w:rsidRDefault="00AD4D95" w:rsidP="0025727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г) обеспечивать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егиональному оператору беспрепятственный доступ к месту (площадке) накопления ТКО для специализированного транспорта (контейнерам и контейнерным площадкам), в том числе не допускать наличие припаркованных транспортных средств, производить очистку от снега подъездных путей и т.п.;</w:t>
      </w:r>
    </w:p>
    <w:p w14:paraId="607E8AE2" w14:textId="5B53212D" w:rsidR="0044529C" w:rsidRPr="002B30D0" w:rsidRDefault="00AD4D95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обеспечивать учет объема и (или) массы </w:t>
      </w:r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</w:t>
      </w:r>
      <w:hyperlink r:id="rId9" w:history="1">
        <w:r w:rsidR="0044529C" w:rsidRPr="002B30D0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</w:t>
      </w:r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утвержденными постановлением Правительства Российской Федерации от 24 мая 2024 г.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C128C0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 </w:t>
      </w:r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71A2F1D7" w14:textId="2410D222" w:rsidR="0044529C" w:rsidRPr="002B30D0" w:rsidRDefault="00AD4D95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производить оплату по настоящему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оговору в порядке, размере и сроки, которые определены настоящим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оговором;</w:t>
      </w:r>
    </w:p>
    <w:p w14:paraId="34261A38" w14:textId="565FA287" w:rsidR="00AD4D95" w:rsidRPr="002B30D0" w:rsidRDefault="00AD4D95" w:rsidP="002572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ж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не допускать повреждения контейнеров и (или) бункеров, сжигания </w:t>
      </w:r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ТКО. А в случае повреждения контейнера (или) бункера незамедлительно принять меры по его замене или ремонту;</w:t>
      </w:r>
    </w:p>
    <w:p w14:paraId="34C89B6E" w14:textId="2297E580" w:rsidR="00AD4D95" w:rsidRPr="002B30D0" w:rsidRDefault="00AD4D95" w:rsidP="002572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з) не допускать переполнения контейнеров и (или) бункеров на контейнерных площадках</w:t>
      </w:r>
      <w:r w:rsidR="00A21A5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A21A5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При необходимости принять мер по оборудованию контейнерной площадки дополнительными контейнерами;</w:t>
      </w:r>
    </w:p>
    <w:p w14:paraId="7FCCA9B3" w14:textId="02C44C7F" w:rsidR="00B72005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д) определить лицо, ответственное за взаимодействие с региональным оператором по вопросам исполнения настоящего </w:t>
      </w:r>
      <w:proofErr w:type="gramStart"/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оговора</w:t>
      </w:r>
      <w:r w:rsidR="00AD4D9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:_</w:t>
      </w:r>
      <w:proofErr w:type="gramEnd"/>
      <w:r w:rsidR="00AD4D9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________________________________________________________, </w:t>
      </w:r>
    </w:p>
    <w:p w14:paraId="07DE87A6" w14:textId="2617F2DC" w:rsidR="00AD4D95" w:rsidRPr="002B30D0" w:rsidRDefault="00AD4D95" w:rsidP="00257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телефон (рабочий, сотовый): _______________________________________________________________;</w:t>
      </w:r>
    </w:p>
    <w:p w14:paraId="525D95DC" w14:textId="396C825D" w:rsidR="0044529C" w:rsidRPr="00C128C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е) уведомить регионального оператора о </w:t>
      </w:r>
      <w:r w:rsidR="00AA32C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прекращении полномочий </w:t>
      </w:r>
      <w:r w:rsidR="00360DF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AA32C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полномоченной организации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AA32C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отношении объектов 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указанн</w:t>
      </w:r>
      <w:r w:rsidR="00AA32C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ых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настоящем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оговоре, а также об изменении иных документов и сведений, представленных </w:t>
      </w:r>
      <w:r w:rsidR="006676C4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егиональному оператору в соответствии с положениями </w:t>
      </w:r>
      <w:hyperlink r:id="rId10" w:history="1">
        <w:r w:rsidRPr="002B30D0">
          <w:rPr>
            <w:rFonts w:ascii="Times New Roman" w:hAnsi="Times New Roman" w:cs="Times New Roman"/>
            <w:color w:val="000000" w:themeColor="text1"/>
            <w:sz w:val="20"/>
            <w:szCs w:val="20"/>
          </w:rPr>
          <w:t xml:space="preserve">пунктов </w:t>
        </w:r>
        <w:r w:rsidR="00AD4D95" w:rsidRPr="002B30D0">
          <w:rPr>
            <w:rFonts w:ascii="Times New Roman" w:hAnsi="Times New Roman" w:cs="Times New Roman"/>
            <w:color w:val="000000" w:themeColor="text1"/>
            <w:sz w:val="20"/>
            <w:szCs w:val="20"/>
          </w:rPr>
          <w:t>13</w:t>
        </w:r>
      </w:hyperlink>
      <w:r w:rsidR="00AD4D9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-16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Правил обращения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твердыми коммунальными отходами, утвержденных постановлением Правительства Российской Федерации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7 марта 2025 г. </w:t>
      </w:r>
      <w:r w:rsidR="00C128C0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отходами", любым доступным </w:t>
      </w:r>
      <w:r w:rsidRPr="00C128C0">
        <w:rPr>
          <w:rFonts w:ascii="Times New Roman" w:hAnsi="Times New Roman" w:cs="Times New Roman"/>
          <w:color w:val="000000" w:themeColor="text1"/>
          <w:sz w:val="20"/>
          <w:szCs w:val="20"/>
        </w:rPr>
        <w:t>способом позволяющим подтвердить получение такого уведомления адресатом;</w:t>
      </w:r>
    </w:p>
    <w:p w14:paraId="36B47B7B" w14:textId="145EF6D9" w:rsidR="0044529C" w:rsidRPr="00C128C0" w:rsidRDefault="00AD4D95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128C0">
        <w:rPr>
          <w:rFonts w:ascii="Times New Roman" w:hAnsi="Times New Roman" w:cs="Times New Roman"/>
          <w:color w:val="000000" w:themeColor="text1"/>
          <w:sz w:val="20"/>
          <w:szCs w:val="20"/>
        </w:rPr>
        <w:t>3.4</w:t>
      </w:r>
      <w:r w:rsidR="0044529C" w:rsidRPr="00C128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557ED5" w:rsidRPr="00C128C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44529C" w:rsidRPr="00C128C0">
        <w:rPr>
          <w:rFonts w:ascii="Times New Roman" w:hAnsi="Times New Roman" w:cs="Times New Roman"/>
          <w:color w:val="000000" w:themeColor="text1"/>
          <w:sz w:val="20"/>
          <w:szCs w:val="20"/>
        </w:rPr>
        <w:t>полномоченная организация имеет право:</w:t>
      </w:r>
    </w:p>
    <w:p w14:paraId="44F1E1CB" w14:textId="6FA794E9" w:rsidR="0044529C" w:rsidRPr="00C128C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128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получать от регионального оператора информацию об изменении установленных тарифов в области обращения с </w:t>
      </w:r>
      <w:r w:rsidR="00891B22" w:rsidRPr="00891B22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C128C0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E7006DC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б) инициировать проведение сверки расчетов по настоящему договору;</w:t>
      </w:r>
    </w:p>
    <w:p w14:paraId="7AC3DECA" w14:textId="17C6C070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инициировать внесение изменений в условия настоящего договора, не противоречащих положениям </w:t>
      </w:r>
      <w:hyperlink r:id="rId11" w:history="1">
        <w:r w:rsidRPr="002B30D0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</w:t>
        </w:r>
      </w:hyperlink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обращения с твердыми коммунальными отходами, утвержденных постановлением Правительства Российской Федерации от 7 марта 2025 г. </w:t>
      </w:r>
      <w:r w:rsidR="00C128C0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отходами";</w:t>
      </w:r>
    </w:p>
    <w:p w14:paraId="4746E66A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0602543E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03A3B52" w14:textId="7497A37E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IV. Порядок осуществления учета объема и (или) массы</w:t>
      </w:r>
      <w:r w:rsidR="00AA32C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</w:p>
    <w:p w14:paraId="5010D2E7" w14:textId="7E090A05" w:rsidR="0044529C" w:rsidRPr="002B30D0" w:rsidRDefault="00AD4D95" w:rsidP="00257271">
      <w:pPr>
        <w:tabs>
          <w:tab w:val="left" w:pos="83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4.1.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Стороны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согласились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производить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учет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объема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(или)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массы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соответствии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2" w:history="1">
        <w:r w:rsidR="0044529C" w:rsidRPr="002B30D0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учета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объема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(или)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массы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, утвержденными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постановлением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Правительства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Российской Федерации от 24 мая 2024 г. </w:t>
      </w:r>
      <w:r w:rsidR="00C128C0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"О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коммерческом</w:t>
      </w:r>
      <w:r w:rsidR="00E3141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учете объема и (или) массы </w:t>
      </w:r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",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способом определенным </w:t>
      </w:r>
      <w:r w:rsidR="00941B7B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риложением №1.</w:t>
      </w:r>
    </w:p>
    <w:p w14:paraId="0883D879" w14:textId="33082E5D" w:rsidR="00496D3F" w:rsidRPr="002B30D0" w:rsidRDefault="00AD4D95" w:rsidP="00257271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6" w:name="_Hlk174361547"/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4.2. </w:t>
      </w:r>
      <w:r w:rsidR="00496D3F" w:rsidRPr="002B30D0">
        <w:rPr>
          <w:rFonts w:ascii="Times New Roman" w:hAnsi="Times New Roman" w:cs="Times New Roman"/>
          <w:color w:val="000000" w:themeColor="text1"/>
          <w:sz w:val="20"/>
        </w:rPr>
        <w:t xml:space="preserve">В случае, если в процессе исполнения </w:t>
      </w:r>
      <w:r w:rsidR="002E5BA4">
        <w:rPr>
          <w:rFonts w:ascii="Times New Roman" w:hAnsi="Times New Roman" w:cs="Times New Roman"/>
          <w:color w:val="000000" w:themeColor="text1"/>
          <w:sz w:val="20"/>
        </w:rPr>
        <w:t>Д</w:t>
      </w:r>
      <w:r w:rsidR="00496D3F" w:rsidRPr="002B30D0">
        <w:rPr>
          <w:rFonts w:ascii="Times New Roman" w:hAnsi="Times New Roman" w:cs="Times New Roman"/>
          <w:color w:val="000000" w:themeColor="text1"/>
          <w:sz w:val="20"/>
        </w:rPr>
        <w:t xml:space="preserve">оговора региональным оператором будет обнаружен факт регулярного (переполнения (два и более случая в течение одного расчетного периода) переполнения контейнеров, бункеров и/или занижения объема ТКО в связи с использованием при расчете объема ТКО недостоверных или недостаточных расчетных единиц региональный оператор вправе в одностороннем порядке внести изменения в условия настоящего </w:t>
      </w:r>
      <w:r w:rsidR="002E5BA4">
        <w:rPr>
          <w:rFonts w:ascii="Times New Roman" w:hAnsi="Times New Roman" w:cs="Times New Roman"/>
          <w:color w:val="000000" w:themeColor="text1"/>
          <w:sz w:val="20"/>
        </w:rPr>
        <w:t>Д</w:t>
      </w:r>
      <w:r w:rsidR="00496D3F" w:rsidRPr="002B30D0">
        <w:rPr>
          <w:rFonts w:ascii="Times New Roman" w:hAnsi="Times New Roman" w:cs="Times New Roman"/>
          <w:color w:val="000000" w:themeColor="text1"/>
          <w:sz w:val="20"/>
        </w:rPr>
        <w:t xml:space="preserve">оговора относительно способа определения объема и (или) массы ТКО или количественных показателей расчетных единиц. </w:t>
      </w:r>
    </w:p>
    <w:bookmarkEnd w:id="6"/>
    <w:p w14:paraId="3037E614" w14:textId="77777777" w:rsidR="00AD4D95" w:rsidRPr="002B30D0" w:rsidRDefault="00AD4D95" w:rsidP="00257271">
      <w:pPr>
        <w:tabs>
          <w:tab w:val="left" w:pos="83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77CE45" w14:textId="5993E041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V. Порядок фиксации нарушений по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оговору</w:t>
      </w:r>
    </w:p>
    <w:p w14:paraId="65085F65" w14:textId="24424139" w:rsidR="00A21A51" w:rsidRPr="002B30D0" w:rsidRDefault="00AD4D95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5.1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нарушения </w:t>
      </w:r>
      <w:r w:rsidR="006676C4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егиональным оператором обязательств по настоящему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оговору</w:t>
      </w:r>
      <w:r w:rsidR="00A21A5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</w:t>
      </w:r>
      <w:r w:rsidR="007D797E">
        <w:rPr>
          <w:rFonts w:ascii="Times New Roman" w:hAnsi="Times New Roman" w:cs="Times New Roman"/>
          <w:color w:val="000000" w:themeColor="text1"/>
          <w:sz w:val="20"/>
          <w:szCs w:val="20"/>
        </w:rPr>
        <w:t>полномоченна</w:t>
      </w:r>
      <w:r w:rsidR="00A21A5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 организация инициирует составление акта о нарушении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A21A5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егиональным оператором обязательств по настоящему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A21A5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оговору (далее – акт), путем направления в адрес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A21A5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егионального оператора вызова на составление акта в срок не менее чем за 1 рабочий день до </w:t>
      </w:r>
      <w:r w:rsidR="00F25A2D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предполагаемой </w:t>
      </w:r>
      <w:r w:rsidR="00A21A5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даты составления акта любым доступным способом, позволяющим подтвердить его получение адресатом.</w:t>
      </w:r>
    </w:p>
    <w:p w14:paraId="1794FBF0" w14:textId="57C3E3A1" w:rsidR="0044529C" w:rsidRPr="002B30D0" w:rsidRDefault="00557ED5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полномоченная организация с участием представителя </w:t>
      </w:r>
      <w:r w:rsidR="00AA32C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егионального оператора составляет акт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вручает его представителю регионального оператора. При неявке представителя регионального оператора 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полномоченная организация составляет акт в присутствии не менее чем </w:t>
      </w:r>
      <w:r w:rsidR="00ED44F8" w:rsidRPr="00ED44F8">
        <w:rPr>
          <w:rFonts w:ascii="Times New Roman" w:hAnsi="Times New Roman" w:cs="Times New Roman"/>
          <w:color w:val="000000" w:themeColor="text1"/>
          <w:sz w:val="20"/>
          <w:szCs w:val="20"/>
        </w:rPr>
        <w:t>двух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незаинтересованных лиц или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полномоченной организацией, любым доступным способом, позволяющим подтвердить его получение адресатом.</w:t>
      </w:r>
    </w:p>
    <w:p w14:paraId="4991E640" w14:textId="32997DD1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Региональный оператор в течение 3 рабочих дней со дня получения акта подписывает его и направляет </w:t>
      </w:r>
      <w:r w:rsidR="00557ED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полномоченной организации. В случае несогласия с содержанием акта региональный оператор вправе подать возражение в отношении акта (далее - возражение) с мотивированным указанием причин своего несогласия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направить возражение </w:t>
      </w:r>
      <w:r w:rsidR="00557ED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полномоченной организации в течение 3 рабочих дней со дня получения акта.</w:t>
      </w:r>
    </w:p>
    <w:p w14:paraId="7D3B0AB3" w14:textId="54D13E34" w:rsidR="0044529C" w:rsidRPr="002B30D0" w:rsidRDefault="00A21A51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5.2.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невозможности устранения нарушений в сроки, предложенные </w:t>
      </w:r>
      <w:r w:rsidR="00557ED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полномоченной организацией, </w:t>
      </w:r>
      <w:r w:rsidR="00AA32C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егиональный оператор предлагает иные сроки для устранения выявленных нарушений.</w:t>
      </w:r>
    </w:p>
    <w:p w14:paraId="5D1672FB" w14:textId="457C9776" w:rsidR="0044529C" w:rsidRPr="002B30D0" w:rsidRDefault="00A21A51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5.3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если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егиональный оператор не направил подписанный акт или возражение в течение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3 рабочих дней со дня получения акта, акт считается согласованным и подписанным региональным оператором.</w:t>
      </w:r>
    </w:p>
    <w:p w14:paraId="4145EE0F" w14:textId="6F8C1450" w:rsidR="0044529C" w:rsidRPr="002B30D0" w:rsidRDefault="00A21A51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5.4.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получения от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егионального оператора возражения </w:t>
      </w:r>
      <w:r w:rsidR="00557ED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полномоченная организация обязан</w:t>
      </w:r>
      <w:r w:rsidR="00A33633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рассмотреть возражение и в случае согласия с возражением внести соответствующие изменения в акт.</w:t>
      </w:r>
    </w:p>
    <w:p w14:paraId="32CA9E5A" w14:textId="57CB7038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несогласия </w:t>
      </w:r>
      <w:r w:rsidR="00557ED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полномоченной организации с возражением разногласия отражаются в акте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и подлежат урегулированию в судебном порядке.</w:t>
      </w:r>
    </w:p>
    <w:p w14:paraId="2229A190" w14:textId="477E6250" w:rsidR="0044529C" w:rsidRPr="002B30D0" w:rsidRDefault="00A21A51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5.5.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Акт должен содержать:</w:t>
      </w:r>
    </w:p>
    <w:p w14:paraId="3227D400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а) сведения о заявителе (наименование, местонахождение, адрес);</w:t>
      </w:r>
    </w:p>
    <w:p w14:paraId="3CFCD0CD" w14:textId="3605E893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сведения об объекте (объектах), на котором образуются </w:t>
      </w:r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49E32948" w14:textId="2F0BD4EA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в) сведения о нарушении соответствующих пунктов настоящего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оговора;</w:t>
      </w:r>
    </w:p>
    <w:p w14:paraId="2AB37CB5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г) другие сведения по усмотрению стороны, в том числе материалы фото- и видеосъемки.</w:t>
      </w:r>
    </w:p>
    <w:p w14:paraId="31205C6E" w14:textId="25C63BB6" w:rsidR="00A21A51" w:rsidRPr="002B30D0" w:rsidRDefault="00A21A51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5.6. В случае выявления факта переполнения контейнеров и/или бункеров </w:t>
      </w:r>
      <w:r w:rsidR="00AA32C5" w:rsidRPr="002B30D0">
        <w:rPr>
          <w:rFonts w:ascii="Times New Roman" w:hAnsi="Times New Roman" w:cs="Times New Roman"/>
          <w:color w:val="000000" w:themeColor="text1"/>
          <w:sz w:val="20"/>
        </w:rPr>
        <w:t>р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егиональным оператором составляется односторонний акт с использованием средств фото- и/или видеофиксации который подлежит направлению течение 3 рабочих дней со дня, следующего за днем составления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</w:rPr>
        <w:t>Уполномоченной организации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</w:rPr>
        <w:br/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на адрес электронной почты. </w:t>
      </w:r>
    </w:p>
    <w:p w14:paraId="75148A04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FFBF54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VI. Ответственность сторон</w:t>
      </w:r>
    </w:p>
    <w:p w14:paraId="38FC306C" w14:textId="02DA6398" w:rsidR="0044529C" w:rsidRPr="002B30D0" w:rsidRDefault="00A21A51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6.1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За неисполнение или ненадлежащее исполнение обязательств по настоящему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оговору стороны несут ответственность в соответствии с законодательством Российской Федерации.</w:t>
      </w:r>
    </w:p>
    <w:p w14:paraId="426D33D1" w14:textId="6CE5D19E" w:rsidR="0044529C" w:rsidRPr="002B30D0" w:rsidRDefault="00A21A51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6.2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неисполнения либо ненадлежащего исполнения </w:t>
      </w:r>
      <w:r w:rsidR="00557ED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полномоченной организацией обязательств по оплате услуг по настоящему </w:t>
      </w:r>
      <w:r w:rsidR="002E5BA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оговору региональный оператор вправе потребовать от </w:t>
      </w:r>
      <w:r w:rsidR="00557ED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Уполномоченной организации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уплаты неустойки в размере одной </w:t>
      </w:r>
      <w:proofErr w:type="spellStart"/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стотридцатой</w:t>
      </w:r>
      <w:proofErr w:type="spellEnd"/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ключевой </w:t>
      </w:r>
      <w:hyperlink r:id="rId13" w:history="1">
        <w:r w:rsidR="0044529C" w:rsidRPr="002B30D0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ставки</w:t>
        </w:r>
      </w:hyperlink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за каждый день просрочки, если иной размер неустойки не установлен федеральным законом.</w:t>
      </w:r>
    </w:p>
    <w:p w14:paraId="7269AAE5" w14:textId="4A1C8ABA" w:rsidR="0044529C" w:rsidRPr="002B30D0" w:rsidRDefault="00A15297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6.3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предоставления в расчетном периоде </w:t>
      </w:r>
      <w:r w:rsidR="00557ED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полномоченной организации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услуг с отклонениями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по вине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егионального оператора,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 </w:t>
      </w:r>
      <w:r w:rsidR="00205500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размер платы за услуги за такой расчетный период снижается за каждый день отклонения на 3,3 процента размера платы, определенного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за расчетный период, в котором произошло указанное отклонение.</w:t>
      </w:r>
    </w:p>
    <w:p w14:paraId="700EE674" w14:textId="57EA0691" w:rsidR="00A15297" w:rsidRPr="002B30D0" w:rsidRDefault="00A15297" w:rsidP="002572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6.4. В случае </w:t>
      </w:r>
      <w:r w:rsidR="009B78BD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неисполнения или 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ненадлежащего исполнения обязательств со стороны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Уполномоченной организации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повлекших невозможность оказания услуги </w:t>
      </w:r>
      <w:r w:rsidR="00AA32C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егиональным оператором, размер платы за услуги снижению не подлежит.</w:t>
      </w:r>
    </w:p>
    <w:p w14:paraId="195419AD" w14:textId="65AC3540" w:rsidR="00A15297" w:rsidRPr="002B30D0" w:rsidRDefault="00A15297" w:rsidP="002572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6.5. В случае переполнения контейнеров и/или бункеров, расположенных на контейнерной площадке</w:t>
      </w:r>
      <w:r w:rsidR="00033FE5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вине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Уполномоченной организации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A32C5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егиональный оператор выставляет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Уполномоченной организации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дополнительный объем</w:t>
      </w:r>
      <w:r w:rsidR="00033FE5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исчисленный исходя из объема и количества контейнеров, вывезенных региональным оператором с контейнерной площадки.</w:t>
      </w:r>
    </w:p>
    <w:p w14:paraId="0F95CBB4" w14:textId="3E8B0717" w:rsidR="00A15297" w:rsidRPr="002B30D0" w:rsidRDefault="00A15297" w:rsidP="00257271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6.6. </w:t>
      </w:r>
      <w:r w:rsidRPr="002B30D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Все споры или разногласия, возникшие между сторонами по настоящему Договору или в связи с ним, рассматриваются сторонами в претензионном порядке, а при недостижении соглашения в Арбитражном суде Кировской области. Направленная претензия должна быть рассмотрена, а мотивированный ответ направлен </w:t>
      </w:r>
      <w:r w:rsidR="000C28F1" w:rsidRPr="002B30D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2B30D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течение 10 (десяти) календарных дней с момента ее получения. Датой получения претензии считается:</w:t>
      </w:r>
    </w:p>
    <w:p w14:paraId="00B478FC" w14:textId="769BD4F2" w:rsidR="00A15297" w:rsidRPr="002B30D0" w:rsidRDefault="00A15297" w:rsidP="00257271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B30D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при почтовом отправлении – дата фактического получения, указанная в почтовом уведомлении. </w:t>
      </w:r>
      <w:r w:rsidR="000C28F1" w:rsidRPr="002B30D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2B30D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 отказе от получения либо неполучении претензии по иным причинам, датой получения считается 10-ый календарный день, с момента поступления претензии в почтовое отделение получателя;</w:t>
      </w:r>
    </w:p>
    <w:p w14:paraId="2691FEB1" w14:textId="77777777" w:rsidR="00A15297" w:rsidRPr="002B30D0" w:rsidRDefault="00A15297" w:rsidP="00257271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B30D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при нарочном получении – дата фактического получения, проставленная на копии претензии;</w:t>
      </w:r>
    </w:p>
    <w:p w14:paraId="49E4870C" w14:textId="659C09DA" w:rsidR="00A15297" w:rsidRPr="002B30D0" w:rsidRDefault="00A15297" w:rsidP="00257271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B30D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при направлении по электронной почте – дата доставки </w:t>
      </w:r>
      <w:r w:rsidRPr="006E38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электронного письма, указанная в отчете </w:t>
      </w:r>
      <w:r w:rsidR="000C28F1" w:rsidRPr="006E38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6E38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 получении адресатом. Адрес электронной почты получателя указан в разделе </w:t>
      </w:r>
      <w:r w:rsidR="006E38FA" w:rsidRPr="006E38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IX</w:t>
      </w:r>
      <w:r w:rsidR="006E38FA" w:rsidRPr="006E38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6E38FA" w:rsidRPr="006E38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X</w:t>
      </w:r>
      <w:r w:rsidRPr="006E38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настоящего</w:t>
      </w:r>
      <w:r w:rsidRPr="002B30D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3534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оговора. </w:t>
      </w:r>
    </w:p>
    <w:p w14:paraId="5C009806" w14:textId="77777777" w:rsidR="00A15297" w:rsidRPr="002B30D0" w:rsidRDefault="00A15297" w:rsidP="00257271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zh-CN"/>
        </w:rPr>
      </w:pPr>
    </w:p>
    <w:p w14:paraId="2D272E52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VII. Обстоятельства непреодолимой силы</w:t>
      </w:r>
    </w:p>
    <w:p w14:paraId="605A30DC" w14:textId="78CD64E9" w:rsidR="0044529C" w:rsidRPr="002B30D0" w:rsidRDefault="00A15297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7.1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Стороны освобождаются от ответственности за неисполнение либо ненадлежащее исполнение обязательств по настоящему </w:t>
      </w:r>
      <w:r w:rsidR="0093534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оговору, если оно явилось следствием обстоятельств непреодолимой силы.</w:t>
      </w:r>
    </w:p>
    <w:p w14:paraId="7F11437B" w14:textId="0DFE2650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 этом срок исполнения обязательств по настоящему </w:t>
      </w:r>
      <w:r w:rsidR="0093534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оговору продлевается соразмерно времени,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в течение которого действовали такие обстоятельства, а также последствиям, вызванным этими обстоятельствами.</w:t>
      </w:r>
    </w:p>
    <w:p w14:paraId="5456C489" w14:textId="118ADF74" w:rsidR="0044529C" w:rsidRPr="002B30D0" w:rsidRDefault="00A15297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7.2.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Сторона, подвергшаяся действию обстоятельств непреодолимой силы, обязана предпринять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все необходимые действия для извещения другой стороны любыми доступными способами без промедления,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1FBEA98B" w14:textId="3F4B1952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707AF0F1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77A3747" w14:textId="0C3CDFAB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VIII. Действие </w:t>
      </w:r>
      <w:r w:rsidR="0093534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оговора</w:t>
      </w:r>
    </w:p>
    <w:p w14:paraId="41FB2627" w14:textId="61DD0478" w:rsidR="00A15297" w:rsidRPr="00B21283" w:rsidRDefault="00A15297" w:rsidP="002572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8.1.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212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Настоящий </w:t>
      </w:r>
      <w:r w:rsidR="00935344" w:rsidRPr="00B21283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B212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оговор вступает в силу с момента подписания и распространяет свое действие </w:t>
      </w:r>
      <w:r w:rsidR="000C28F1" w:rsidRPr="00B21283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21283">
        <w:rPr>
          <w:rFonts w:ascii="Times New Roman" w:hAnsi="Times New Roman" w:cs="Times New Roman"/>
          <w:color w:val="000000" w:themeColor="text1"/>
          <w:sz w:val="20"/>
          <w:szCs w:val="20"/>
        </w:rPr>
        <w:t>на отношения сторон, возникшие с даты начала оказания услуг, определенной пунктом 1.</w:t>
      </w:r>
      <w:r w:rsidR="0001356C" w:rsidRPr="00B21283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B212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настоящего </w:t>
      </w:r>
      <w:r w:rsidR="00935344" w:rsidRPr="00B21283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B21283">
        <w:rPr>
          <w:rFonts w:ascii="Times New Roman" w:hAnsi="Times New Roman" w:cs="Times New Roman"/>
          <w:color w:val="000000" w:themeColor="text1"/>
          <w:sz w:val="20"/>
          <w:szCs w:val="20"/>
        </w:rPr>
        <w:t>оговора и действует до 31.12.202</w:t>
      </w:r>
      <w:r w:rsidR="0060224C" w:rsidRPr="00B21283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B21283">
        <w:rPr>
          <w:rFonts w:ascii="Times New Roman" w:hAnsi="Times New Roman" w:cs="Times New Roman"/>
          <w:color w:val="000000" w:themeColor="text1"/>
          <w:sz w:val="20"/>
          <w:szCs w:val="20"/>
        </w:rPr>
        <w:t>, а по финансовым обязательствам – до их полного исполнения</w:t>
      </w:r>
      <w:r w:rsidR="00B51EBD" w:rsidRPr="00B2128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3A81C1F" w14:textId="2B7D9D29" w:rsidR="0044529C" w:rsidRPr="002B30D0" w:rsidRDefault="00A15297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2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8.2. </w:t>
      </w:r>
      <w:r w:rsidR="0044529C" w:rsidRPr="00B212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Настоящий </w:t>
      </w:r>
      <w:r w:rsidR="00935344" w:rsidRPr="00B21283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44529C" w:rsidRPr="00B21283">
        <w:rPr>
          <w:rFonts w:ascii="Times New Roman" w:hAnsi="Times New Roman" w:cs="Times New Roman"/>
          <w:color w:val="000000" w:themeColor="text1"/>
          <w:sz w:val="20"/>
          <w:szCs w:val="20"/>
        </w:rPr>
        <w:t>оговор сч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итается продленным на тот же срок и на тех же условиях, если за один месяц до окончания срока его действия ни одна из сторон не заявит о его прекращении (изменении) либо о заключении нового </w:t>
      </w:r>
      <w:r w:rsidR="0093534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оговора на иных условиях.</w:t>
      </w:r>
    </w:p>
    <w:p w14:paraId="3298CC5C" w14:textId="5E96F774" w:rsidR="00A15297" w:rsidRPr="002B30D0" w:rsidRDefault="00A15297" w:rsidP="002572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8.3. Настоящий </w:t>
      </w:r>
      <w:r w:rsidR="0093534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оговор прекращает свое действие</w:t>
      </w:r>
      <w:r w:rsidR="00A9124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полностью или в части 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с момента:</w:t>
      </w:r>
    </w:p>
    <w:p w14:paraId="2AFCAB9B" w14:textId="296DA10A" w:rsidR="00A15297" w:rsidRPr="002B30D0" w:rsidRDefault="00A15297" w:rsidP="002572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прекращения деятельности </w:t>
      </w:r>
      <w:r w:rsidR="00360DF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полномоченной организации по представлению интересов собственников объектов недвижимого имущества</w:t>
      </w:r>
      <w:r w:rsidR="00A9124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, входящего в состав источника ТКО</w:t>
      </w:r>
      <w:r w:rsidR="003258C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A9124A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2F64922" w14:textId="66EA0693" w:rsidR="00A15297" w:rsidRPr="002B30D0" w:rsidRDefault="00A9124A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- физической гибели объекта(</w:t>
      </w:r>
      <w:proofErr w:type="spellStart"/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тов</w:t>
      </w:r>
      <w:proofErr w:type="spellEnd"/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B51EBD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имущества</w:t>
      </w:r>
      <w:r w:rsidR="00B51EBD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, входящего в состав источника образования ТКО</w:t>
      </w:r>
      <w:r w:rsidR="003646D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, снятия объекта с кадастрового учета</w:t>
      </w:r>
      <w:r w:rsidR="00B51EBD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334B84AA" w14:textId="7423493B" w:rsidR="0044529C" w:rsidRPr="002B30D0" w:rsidRDefault="00B51EBD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8.4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Настоящий </w:t>
      </w:r>
      <w:r w:rsidR="0093534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оговор может быть расторгнут до окончания срока его действия по соглашению сторон.</w:t>
      </w:r>
    </w:p>
    <w:p w14:paraId="3C6B6A4E" w14:textId="77777777" w:rsidR="00EF009A" w:rsidRPr="002B30D0" w:rsidRDefault="00EF009A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8DBE461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IX. Прочие условия</w:t>
      </w:r>
    </w:p>
    <w:p w14:paraId="31E5E50F" w14:textId="489C849C" w:rsidR="00B51EBD" w:rsidRPr="002B30D0" w:rsidRDefault="00B51EBD" w:rsidP="002572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9.1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Все изменения, которые вносятся в настоящий </w:t>
      </w:r>
      <w:r w:rsidR="0093534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оговор, считаются действительными, если они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(в письменной форме) подписаны </w:t>
      </w:r>
      <w:r w:rsidR="00360DF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полномоченными на то лицами сторон и заверены печатями сторон (при их наличии)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исключением случаев, предусмотренных </w:t>
      </w:r>
      <w:r w:rsidR="006A36E2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пунктами 2.2., 4.2. настоящего </w:t>
      </w:r>
      <w:r w:rsidR="0093534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6A36E2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оговора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5B913468" w14:textId="11218616" w:rsidR="00B51EBD" w:rsidRPr="002B30D0" w:rsidRDefault="00B51EBD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7" w:name="_Hlk174463277"/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Соглашение об изменении условий настоящего </w:t>
      </w:r>
      <w:r w:rsidR="00935344">
        <w:rPr>
          <w:rFonts w:ascii="Times New Roman" w:hAnsi="Times New Roman" w:cs="Times New Roman"/>
          <w:color w:val="000000" w:themeColor="text1"/>
          <w:sz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оговора считается заключенным в случае отсутствия мотивированного возражения второй стороны, направленного в срок не позднее 15 рабочих дней с момента получения проекта соглашения, при условии его направления способом позволяющим подтвердить факт </w:t>
      </w:r>
      <w:bookmarkEnd w:id="7"/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направления, в т.ч. по электронной почте указанной в пункте 9.2 настоящего договора либо посредством системы электронного документооборота. </w:t>
      </w:r>
    </w:p>
    <w:p w14:paraId="4335B5E3" w14:textId="25AD9893" w:rsidR="00B51EBD" w:rsidRPr="002B30D0" w:rsidRDefault="00B51EBD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>9.2.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ab/>
        <w:t>Стороны договорились о том, что документы</w:t>
      </w:r>
      <w:r w:rsidR="009C1DC2">
        <w:rPr>
          <w:rFonts w:ascii="Times New Roman" w:hAnsi="Times New Roman" w:cs="Times New Roman"/>
          <w:color w:val="000000" w:themeColor="text1"/>
          <w:sz w:val="20"/>
        </w:rPr>
        <w:t>,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 в том числе счета (счета-фактуры) на оплату услуг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</w:rPr>
        <w:br/>
      </w:r>
      <w:r w:rsidRPr="002B30D0">
        <w:rPr>
          <w:rFonts w:ascii="Times New Roman" w:hAnsi="Times New Roman" w:cs="Times New Roman"/>
          <w:color w:val="000000" w:themeColor="text1"/>
          <w:sz w:val="20"/>
        </w:rPr>
        <w:t>и акт</w:t>
      </w:r>
      <w:r w:rsidR="009C1DC2">
        <w:rPr>
          <w:rFonts w:ascii="Times New Roman" w:hAnsi="Times New Roman" w:cs="Times New Roman"/>
          <w:color w:val="000000" w:themeColor="text1"/>
          <w:sz w:val="20"/>
        </w:rPr>
        <w:t>ы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 оказанных услуг (выполненных работ), дополнительные соглашения, претензии, письма и иные документы могут быть направлены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</w:rPr>
        <w:t>р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егиональным оператором в адрес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</w:rPr>
        <w:t>Уполномоченной организации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 по электронной почте.</w:t>
      </w:r>
    </w:p>
    <w:p w14:paraId="7E8F8D3E" w14:textId="75DA4D01" w:rsidR="00B51EBD" w:rsidRPr="002B30D0" w:rsidRDefault="00B51EBD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Для электронного обмена документами </w:t>
      </w:r>
      <w:r w:rsidR="00360DF0">
        <w:rPr>
          <w:rFonts w:ascii="Times New Roman" w:hAnsi="Times New Roman" w:cs="Times New Roman"/>
          <w:color w:val="000000" w:themeColor="text1"/>
          <w:sz w:val="20"/>
        </w:rPr>
        <w:t>с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>тороны принимают действительными следующие адреса электронной почты:</w:t>
      </w:r>
    </w:p>
    <w:p w14:paraId="642A842C" w14:textId="37AFED11" w:rsidR="00B51EBD" w:rsidRPr="002B30D0" w:rsidRDefault="00B51EBD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Региональный оператор: </w:t>
      </w:r>
      <w:proofErr w:type="spellStart"/>
      <w:r w:rsidRPr="002B30D0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dogovor</w:t>
      </w:r>
      <w:r w:rsidR="002E6E0F" w:rsidRPr="002B30D0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f</w:t>
      </w:r>
      <w:proofErr w:type="spellEnd"/>
      <w:r w:rsidRPr="002B30D0">
        <w:rPr>
          <w:rFonts w:ascii="Times New Roman" w:hAnsi="Times New Roman" w:cs="Times New Roman"/>
          <w:color w:val="000000" w:themeColor="text1"/>
          <w:sz w:val="20"/>
          <w:u w:val="single"/>
        </w:rPr>
        <w:t>@</w:t>
      </w:r>
      <w:proofErr w:type="spellStart"/>
      <w:r w:rsidRPr="002B30D0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cuprit</w:t>
      </w:r>
      <w:proofErr w:type="spellEnd"/>
      <w:r w:rsidRPr="002B30D0">
        <w:rPr>
          <w:rFonts w:ascii="Times New Roman" w:hAnsi="Times New Roman" w:cs="Times New Roman"/>
          <w:color w:val="000000" w:themeColor="text1"/>
          <w:sz w:val="20"/>
          <w:u w:val="single"/>
        </w:rPr>
        <w:t>.</w:t>
      </w:r>
      <w:proofErr w:type="spellStart"/>
      <w:r w:rsidRPr="002B30D0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ru</w:t>
      </w:r>
      <w:proofErr w:type="spellEnd"/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; </w:t>
      </w:r>
      <w:proofErr w:type="spellStart"/>
      <w:r w:rsidR="003646DC" w:rsidRPr="002B30D0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dogovor</w:t>
      </w:r>
      <w:proofErr w:type="spellEnd"/>
      <w:r w:rsidR="003646DC" w:rsidRPr="002B30D0">
        <w:rPr>
          <w:rFonts w:ascii="Times New Roman" w:hAnsi="Times New Roman" w:cs="Times New Roman"/>
          <w:color w:val="000000" w:themeColor="text1"/>
          <w:sz w:val="20"/>
          <w:u w:val="single"/>
        </w:rPr>
        <w:t>@</w:t>
      </w:r>
      <w:proofErr w:type="spellStart"/>
      <w:r w:rsidR="003646DC" w:rsidRPr="002B30D0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cuprit</w:t>
      </w:r>
      <w:proofErr w:type="spellEnd"/>
      <w:r w:rsidR="003646DC" w:rsidRPr="002B30D0">
        <w:rPr>
          <w:rFonts w:ascii="Times New Roman" w:hAnsi="Times New Roman" w:cs="Times New Roman"/>
          <w:color w:val="000000" w:themeColor="text1"/>
          <w:sz w:val="20"/>
          <w:u w:val="single"/>
        </w:rPr>
        <w:t>.</w:t>
      </w:r>
      <w:proofErr w:type="spellStart"/>
      <w:r w:rsidR="003646DC" w:rsidRPr="002B30D0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ru</w:t>
      </w:r>
      <w:proofErr w:type="spellEnd"/>
      <w:r w:rsidR="00902F92">
        <w:rPr>
          <w:rFonts w:ascii="Times New Roman" w:hAnsi="Times New Roman" w:cs="Times New Roman"/>
          <w:color w:val="000000" w:themeColor="text1"/>
          <w:sz w:val="20"/>
          <w:u w:val="single"/>
        </w:rPr>
        <w:t>;</w:t>
      </w:r>
      <w:r w:rsidR="003646DC" w:rsidRPr="006E7120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2B30D0">
        <w:rPr>
          <w:rFonts w:ascii="Times New Roman" w:hAnsi="Times New Roman" w:cs="Times New Roman"/>
          <w:color w:val="000000" w:themeColor="text1"/>
          <w:sz w:val="20"/>
          <w:u w:val="single"/>
        </w:rPr>
        <w:t>cuprit@cuprit.ru;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14:paraId="4E1D878A" w14:textId="4BDA5150" w:rsidR="00B51EBD" w:rsidRPr="002B30D0" w:rsidRDefault="00EF009A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>Уполномоченная организация</w:t>
      </w:r>
      <w:r w:rsidR="00B51EBD" w:rsidRPr="002B30D0">
        <w:rPr>
          <w:rFonts w:ascii="Times New Roman" w:hAnsi="Times New Roman" w:cs="Times New Roman"/>
          <w:color w:val="000000" w:themeColor="text1"/>
          <w:sz w:val="20"/>
        </w:rPr>
        <w:t>: ______________________________________</w:t>
      </w:r>
      <w:proofErr w:type="gramStart"/>
      <w:r w:rsidR="00B51EBD" w:rsidRPr="002B30D0">
        <w:rPr>
          <w:rFonts w:ascii="Times New Roman" w:hAnsi="Times New Roman" w:cs="Times New Roman"/>
          <w:color w:val="000000" w:themeColor="text1"/>
          <w:sz w:val="20"/>
        </w:rPr>
        <w:t>_ .</w:t>
      </w:r>
      <w:proofErr w:type="gramEnd"/>
    </w:p>
    <w:p w14:paraId="5DE5A720" w14:textId="6F2E5747" w:rsidR="00B51EBD" w:rsidRPr="002B30D0" w:rsidRDefault="00B51EBD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>После получения по электронной почте счета (счета-фактуры) и акт</w:t>
      </w:r>
      <w:r w:rsidR="002E6E0F" w:rsidRPr="002B30D0">
        <w:rPr>
          <w:rFonts w:ascii="Times New Roman" w:hAnsi="Times New Roman" w:cs="Times New Roman"/>
          <w:color w:val="000000" w:themeColor="text1"/>
          <w:sz w:val="20"/>
        </w:rPr>
        <w:t>а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 оказанных услуг (выполненных работ) и иных первичных документов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</w:rPr>
        <w:t>Уполномоченная организация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 в течение 5 (пяти) календарных дней с даты отправления указанных документов подписывает и предоставляет или направляет почтой заказной корреспонденцией с описью вложения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</w:rPr>
        <w:t>р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егиональному оператору акт оказанных услуг (выполненных работ) по адресу: 610035, г. Киров, ул. Пугачева, 1Б, либо направляет в адрес </w:t>
      </w:r>
      <w:r w:rsidR="00EF009A" w:rsidRPr="002B30D0">
        <w:rPr>
          <w:rFonts w:ascii="Times New Roman" w:hAnsi="Times New Roman" w:cs="Times New Roman"/>
          <w:color w:val="000000" w:themeColor="text1"/>
          <w:sz w:val="20"/>
        </w:rPr>
        <w:t>р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>егионального оператора мотивированный письменный отказ от его подписания.</w:t>
      </w:r>
    </w:p>
    <w:p w14:paraId="4E496957" w14:textId="0800B889" w:rsidR="00B51EBD" w:rsidRPr="002B30D0" w:rsidRDefault="00B51EBD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>9.3.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договорились, что для организации электронного документооборота (далее – ЭДО) используют квалифицированную электронную подпись (далее по тексту – ЭП), что предполагает получение </w:t>
      </w:r>
      <w:r w:rsidR="00360DF0">
        <w:rPr>
          <w:rFonts w:ascii="Times New Roman" w:hAnsi="Times New Roman" w:cs="Times New Roman"/>
          <w:color w:val="000000" w:themeColor="text1"/>
          <w:sz w:val="20"/>
        </w:rPr>
        <w:t>с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торонами сертификатов ключа проверки ЭП в аккредитованном удостоверяющем центре в соответствии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</w:rPr>
        <w:br/>
      </w:r>
      <w:r w:rsidRPr="002B30D0">
        <w:rPr>
          <w:rFonts w:ascii="Times New Roman" w:hAnsi="Times New Roman" w:cs="Times New Roman"/>
          <w:color w:val="000000" w:themeColor="text1"/>
          <w:sz w:val="20"/>
        </w:rPr>
        <w:t>с положениями Федерального закона № 63-ФЗ от 06.04.2011 «Об электронной подписи».</w:t>
      </w:r>
    </w:p>
    <w:p w14:paraId="715B0BF7" w14:textId="7B1CE308" w:rsidR="00B51EBD" w:rsidRPr="002B30D0" w:rsidRDefault="00B51EBD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Электронные документы, отправляемые </w:t>
      </w:r>
      <w:r w:rsidR="00360DF0">
        <w:rPr>
          <w:rFonts w:ascii="Times New Roman" w:hAnsi="Times New Roman" w:cs="Times New Roman"/>
          <w:color w:val="000000" w:themeColor="text1"/>
          <w:sz w:val="20"/>
        </w:rPr>
        <w:t>с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>тороной посредством системы ЭДО, подписываются ЭП.</w:t>
      </w:r>
    </w:p>
    <w:p w14:paraId="4CE6E902" w14:textId="7D5362E6" w:rsidR="00B51EBD" w:rsidRPr="002B30D0" w:rsidRDefault="00B51EBD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>9.4.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ab/>
      </w:r>
      <w:r w:rsidR="00EF009A" w:rsidRPr="002B30D0">
        <w:rPr>
          <w:rFonts w:ascii="Times New Roman" w:hAnsi="Times New Roman" w:cs="Times New Roman"/>
          <w:color w:val="000000" w:themeColor="text1"/>
          <w:sz w:val="20"/>
        </w:rPr>
        <w:t>Уполномоченная организация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 после получения документов от </w:t>
      </w:r>
      <w:r w:rsidR="006676C4" w:rsidRPr="002B30D0">
        <w:rPr>
          <w:rFonts w:ascii="Times New Roman" w:hAnsi="Times New Roman" w:cs="Times New Roman"/>
          <w:color w:val="000000" w:themeColor="text1"/>
          <w:sz w:val="20"/>
        </w:rPr>
        <w:t>р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посредством ЭДО подписывает документы ЭП и отправляет их в адрес </w:t>
      </w:r>
      <w:r w:rsidR="006676C4" w:rsidRPr="002B30D0">
        <w:rPr>
          <w:rFonts w:ascii="Times New Roman" w:hAnsi="Times New Roman" w:cs="Times New Roman"/>
          <w:color w:val="000000" w:themeColor="text1"/>
          <w:sz w:val="20"/>
        </w:rPr>
        <w:t>р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в сроки, указанные в пункте 9.2. настоящего </w:t>
      </w:r>
      <w:r w:rsidR="00935344">
        <w:rPr>
          <w:rFonts w:ascii="Times New Roman" w:hAnsi="Times New Roman" w:cs="Times New Roman"/>
          <w:color w:val="000000" w:themeColor="text1"/>
          <w:sz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оговора, посредством ЭДО, либо направляет в адрес </w:t>
      </w:r>
      <w:r w:rsidR="006676C4" w:rsidRPr="002B30D0">
        <w:rPr>
          <w:rFonts w:ascii="Times New Roman" w:hAnsi="Times New Roman" w:cs="Times New Roman"/>
          <w:color w:val="000000" w:themeColor="text1"/>
          <w:sz w:val="20"/>
        </w:rPr>
        <w:t>р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>егионального оператора мотивированный письменный отказ от их подписания.</w:t>
      </w:r>
    </w:p>
    <w:p w14:paraId="14890F3B" w14:textId="7B177B55" w:rsidR="00B51EBD" w:rsidRPr="002B30D0" w:rsidRDefault="00B51EBD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>9.5.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признают,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 11 Федерального закона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</w:rPr>
        <w:br/>
      </w:r>
      <w:r w:rsidRPr="002B30D0">
        <w:rPr>
          <w:rFonts w:ascii="Times New Roman" w:hAnsi="Times New Roman" w:cs="Times New Roman"/>
          <w:color w:val="000000" w:themeColor="text1"/>
          <w:sz w:val="20"/>
        </w:rPr>
        <w:t>№ 63-ФЗ от 06.04.2011 «Об электронной подписи».</w:t>
      </w:r>
    </w:p>
    <w:p w14:paraId="691A0600" w14:textId="5A60BE93" w:rsidR="00B51EBD" w:rsidRPr="002B30D0" w:rsidRDefault="00B51EBD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>9.6.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признают, что полученные электронные документы, заверенные ЭП </w:t>
      </w:r>
      <w:r w:rsidR="00360DF0">
        <w:rPr>
          <w:rFonts w:ascii="Times New Roman" w:hAnsi="Times New Roman" w:cs="Times New Roman"/>
          <w:color w:val="000000" w:themeColor="text1"/>
          <w:sz w:val="20"/>
        </w:rPr>
        <w:t>У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>полномоченных лиц, юридически эквивалентны документам на бумажных носителях, заверенным соответствующими подписями.</w:t>
      </w:r>
    </w:p>
    <w:p w14:paraId="2665175A" w14:textId="1DD5D476" w:rsidR="00B51EBD" w:rsidRPr="002B30D0" w:rsidRDefault="00B51EBD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>9.7.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обязаны заблаговременно информировать друг друга о невозможности обмена документами в электронном виде, подписанными ЭП, в случае технического сбоя внутренних систем </w:t>
      </w:r>
      <w:r w:rsidR="00360DF0">
        <w:rPr>
          <w:rFonts w:ascii="Times New Roman" w:hAnsi="Times New Roman" w:cs="Times New Roman"/>
          <w:color w:val="000000" w:themeColor="text1"/>
          <w:sz w:val="20"/>
        </w:rPr>
        <w:t>с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тороны. В этом случае, в период действия такого сбоя, </w:t>
      </w:r>
      <w:r w:rsidR="00360DF0">
        <w:rPr>
          <w:rFonts w:ascii="Times New Roman" w:hAnsi="Times New Roman" w:cs="Times New Roman"/>
          <w:color w:val="000000" w:themeColor="text1"/>
          <w:sz w:val="20"/>
        </w:rPr>
        <w:t>с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>тороны производят обмен документами на бумажном носителе с подписанием собственноручной подписью в порядке и сроки, указанные в пункте 2.</w:t>
      </w:r>
      <w:r w:rsidR="007E5647">
        <w:rPr>
          <w:rFonts w:ascii="Times New Roman" w:hAnsi="Times New Roman" w:cs="Times New Roman"/>
          <w:color w:val="000000" w:themeColor="text1"/>
          <w:sz w:val="20"/>
        </w:rPr>
        <w:t>3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. настоящего </w:t>
      </w:r>
      <w:r w:rsidR="00935344">
        <w:rPr>
          <w:rFonts w:ascii="Times New Roman" w:hAnsi="Times New Roman" w:cs="Times New Roman"/>
          <w:color w:val="000000" w:themeColor="text1"/>
          <w:sz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>оговора.</w:t>
      </w:r>
    </w:p>
    <w:p w14:paraId="0F3D9A03" w14:textId="64190097" w:rsidR="00B51EBD" w:rsidRPr="002B30D0" w:rsidRDefault="00B51EBD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>9.8.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ab/>
        <w:t xml:space="preserve">Электронный документ, содержание которого соответствует требованиям нормативных правовых актов, должен приниматься </w:t>
      </w:r>
      <w:r w:rsidR="00360DF0">
        <w:rPr>
          <w:rFonts w:ascii="Times New Roman" w:hAnsi="Times New Roman" w:cs="Times New Roman"/>
          <w:color w:val="000000" w:themeColor="text1"/>
          <w:sz w:val="20"/>
        </w:rPr>
        <w:t>с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торонами к учету в качестве первичного учетного документа, использоваться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</w:rPr>
        <w:br/>
      </w:r>
      <w:r w:rsidRPr="002B30D0">
        <w:rPr>
          <w:rFonts w:ascii="Times New Roman" w:hAnsi="Times New Roman" w:cs="Times New Roman"/>
          <w:color w:val="000000" w:themeColor="text1"/>
          <w:sz w:val="20"/>
        </w:rPr>
        <w:t>в качестве доказательства в судебных разбирательствах, предоставляться в государственные органы по запросам последних.</w:t>
      </w:r>
    </w:p>
    <w:p w14:paraId="494A0F0D" w14:textId="43B41FC0" w:rsidR="00B51EBD" w:rsidRPr="002B30D0" w:rsidRDefault="00B51EBD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>9.9.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ab/>
        <w:t xml:space="preserve"> Каждая из </w:t>
      </w:r>
      <w:r w:rsidR="00360DF0">
        <w:rPr>
          <w:rFonts w:ascii="Times New Roman" w:hAnsi="Times New Roman" w:cs="Times New Roman"/>
          <w:color w:val="000000" w:themeColor="text1"/>
          <w:sz w:val="20"/>
        </w:rPr>
        <w:t>с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торон несет ответственность за обеспечение конфиденциальности ключей ЭП, недопущение использования принадлежащих ей ключей без ее согласия. Если в сертификате ЭП не указан орган или физическое лицо, действующее от имени организации при подписании электронного документа, то в каждом случае получения подписанного электронного документа получающая </w:t>
      </w:r>
      <w:r w:rsidR="00360DF0">
        <w:rPr>
          <w:rFonts w:ascii="Times New Roman" w:hAnsi="Times New Roman" w:cs="Times New Roman"/>
          <w:color w:val="000000" w:themeColor="text1"/>
          <w:sz w:val="20"/>
        </w:rPr>
        <w:t>с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торона добросовестно исходит из того, что документ подписан от имени направляющей </w:t>
      </w:r>
      <w:r w:rsidR="00360DF0">
        <w:rPr>
          <w:rFonts w:ascii="Times New Roman" w:hAnsi="Times New Roman" w:cs="Times New Roman"/>
          <w:color w:val="000000" w:themeColor="text1"/>
          <w:sz w:val="20"/>
        </w:rPr>
        <w:t>с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>тороны надлежащим лицом, действующим в пределах имеющихся у него полномочий.</w:t>
      </w:r>
    </w:p>
    <w:p w14:paraId="393034C6" w14:textId="6BA44718" w:rsidR="00B51EBD" w:rsidRPr="002B30D0" w:rsidRDefault="00B51EBD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>9.10.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ab/>
        <w:t xml:space="preserve"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</w:t>
      </w:r>
      <w:r w:rsidR="00360DF0">
        <w:rPr>
          <w:rFonts w:ascii="Times New Roman" w:hAnsi="Times New Roman" w:cs="Times New Roman"/>
          <w:color w:val="000000" w:themeColor="text1"/>
          <w:sz w:val="20"/>
        </w:rPr>
        <w:t>с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>торонами.</w:t>
      </w:r>
    </w:p>
    <w:p w14:paraId="09655B9C" w14:textId="7FE4D40D" w:rsidR="00B51EBD" w:rsidRPr="002B30D0" w:rsidRDefault="00B51EBD" w:rsidP="0025727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>9.11.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ab/>
        <w:t xml:space="preserve">Факсимильные (сканированные) копии настоящего </w:t>
      </w:r>
      <w:r w:rsidR="00935344">
        <w:rPr>
          <w:rFonts w:ascii="Times New Roman" w:hAnsi="Times New Roman" w:cs="Times New Roman"/>
          <w:color w:val="000000" w:themeColor="text1"/>
          <w:sz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оговора, дополнительных соглашений к нему,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</w:rPr>
        <w:br/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а также иных документов по исполнению настоящего </w:t>
      </w:r>
      <w:r w:rsidR="00935344">
        <w:rPr>
          <w:rFonts w:ascii="Times New Roman" w:hAnsi="Times New Roman" w:cs="Times New Roman"/>
          <w:color w:val="000000" w:themeColor="text1"/>
          <w:sz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>оговора имеют юридическую силу до момента обмена оригиналами. При этом стороны обязуются в разумный срок предоставлять друг другу оригиналы таких документов.</w:t>
      </w:r>
    </w:p>
    <w:p w14:paraId="107834AF" w14:textId="292BC924" w:rsidR="00B51EBD" w:rsidRPr="002B30D0" w:rsidRDefault="00B51EBD" w:rsidP="00257271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>9.12.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договорились, что после опубликования в порядке, предусмотренном пунктом 2.2. настоящего </w:t>
      </w:r>
      <w:r w:rsidR="00935344">
        <w:rPr>
          <w:rFonts w:ascii="Times New Roman" w:hAnsi="Times New Roman" w:cs="Times New Roman"/>
          <w:color w:val="000000" w:themeColor="text1"/>
          <w:sz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оговора, новой цены на услуги, оказываемые в рамках настоящего </w:t>
      </w:r>
      <w:r w:rsidR="00935344">
        <w:rPr>
          <w:rFonts w:ascii="Times New Roman" w:hAnsi="Times New Roman" w:cs="Times New Roman"/>
          <w:color w:val="000000" w:themeColor="text1"/>
          <w:sz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оговора, цена является согласованной обеими </w:t>
      </w:r>
      <w:r w:rsidR="00360DF0">
        <w:rPr>
          <w:rFonts w:ascii="Times New Roman" w:hAnsi="Times New Roman" w:cs="Times New Roman"/>
          <w:color w:val="000000" w:themeColor="text1"/>
          <w:sz w:val="20"/>
        </w:rPr>
        <w:t>с</w:t>
      </w:r>
      <w:r w:rsidRPr="002B30D0">
        <w:rPr>
          <w:rFonts w:ascii="Times New Roman" w:hAnsi="Times New Roman" w:cs="Times New Roman"/>
          <w:color w:val="000000" w:themeColor="text1"/>
          <w:sz w:val="20"/>
        </w:rPr>
        <w:t>торонами, а услуги подлежат оплате по новой цене.</w:t>
      </w:r>
    </w:p>
    <w:p w14:paraId="3CD06112" w14:textId="5E1AC22F" w:rsidR="0044529C" w:rsidRPr="002B30D0" w:rsidRDefault="00B51EBD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9.13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. В случае изменения наименования, местонахождения и банковских реквизитов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2128CE8D" w14:textId="6808C27D" w:rsidR="0044529C" w:rsidRPr="002B30D0" w:rsidRDefault="00C82FC0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9.14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При исполнении настоящего </w:t>
      </w:r>
      <w:r w:rsidR="0093534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оговора стороны обязуются руководствоваться законодательством Российской Федерации, в том числе положениями Федерального </w:t>
      </w:r>
      <w:hyperlink r:id="rId14" w:history="1">
        <w:r w:rsidR="0044529C" w:rsidRPr="002B30D0">
          <w:rPr>
            <w:rFonts w:ascii="Times New Roman" w:hAnsi="Times New Roman" w:cs="Times New Roman"/>
            <w:color w:val="000000" w:themeColor="text1"/>
            <w:sz w:val="20"/>
            <w:szCs w:val="20"/>
          </w:rPr>
          <w:t>закона</w:t>
        </w:r>
      </w:hyperlink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"Об отходах производства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потребления",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</w:t>
      </w:r>
      <w:r w:rsidR="00891B22" w:rsidRPr="00891B22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588B6FD" w14:textId="6CCD3474" w:rsidR="0044529C" w:rsidRPr="002B30D0" w:rsidRDefault="00C82FC0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9.15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Настоящий </w:t>
      </w:r>
      <w:r w:rsidR="0093534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44529C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оговор составлен в 2 экземплярах, имеющих равную юридическую силу.</w:t>
      </w:r>
    </w:p>
    <w:p w14:paraId="63FF157F" w14:textId="6DEB6777" w:rsidR="00C82FC0" w:rsidRPr="002B30D0" w:rsidRDefault="00C82FC0" w:rsidP="002572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9.16. </w:t>
      </w:r>
      <w:hyperlink w:anchor="Par173" w:history="1">
        <w:r w:rsidRPr="002B30D0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Приложение</w:t>
        </w:r>
      </w:hyperlink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№1 к настоящему </w:t>
      </w:r>
      <w:r w:rsidR="0093534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оговору «Информация по предмету </w:t>
      </w:r>
      <w:r w:rsidR="0093534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оговора на оказание услуг </w:t>
      </w:r>
      <w:r w:rsidR="000C28F1"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B30D0">
        <w:rPr>
          <w:rFonts w:ascii="Times New Roman" w:hAnsi="Times New Roman" w:cs="Times New Roman"/>
          <w:color w:val="000000" w:themeColor="text1"/>
          <w:sz w:val="20"/>
          <w:szCs w:val="20"/>
        </w:rPr>
        <w:t>по обращению с ТКО» является его неотъемлемой частью.</w:t>
      </w:r>
    </w:p>
    <w:p w14:paraId="58E0D17D" w14:textId="7A417EC1" w:rsidR="0044529C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DA8B65D" w14:textId="3AEA5406" w:rsidR="00A92928" w:rsidRDefault="00A92928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3CAB44" w14:textId="0B2B063D" w:rsidR="00A92928" w:rsidRPr="00A92928" w:rsidRDefault="00A92928" w:rsidP="0025727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A9292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и подписи сторон:</w:t>
      </w:r>
    </w:p>
    <w:p w14:paraId="0382FDF0" w14:textId="77777777" w:rsidR="00A92928" w:rsidRPr="00A92928" w:rsidRDefault="00A92928" w:rsidP="002572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98"/>
        <w:gridCol w:w="4541"/>
      </w:tblGrid>
      <w:tr w:rsidR="00A92928" w:rsidRPr="00A92928" w14:paraId="22444D4F" w14:textId="77777777" w:rsidTr="00FC65B6">
        <w:tc>
          <w:tcPr>
            <w:tcW w:w="5098" w:type="dxa"/>
            <w:shd w:val="clear" w:color="auto" w:fill="auto"/>
          </w:tcPr>
          <w:p w14:paraId="5354966F" w14:textId="77777777" w:rsidR="00A92928" w:rsidRPr="00A92928" w:rsidRDefault="00A92928" w:rsidP="00257271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_Hlk179525171"/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оператор:</w:t>
            </w:r>
          </w:p>
        </w:tc>
        <w:tc>
          <w:tcPr>
            <w:tcW w:w="4541" w:type="dxa"/>
            <w:shd w:val="clear" w:color="auto" w:fill="auto"/>
          </w:tcPr>
          <w:p w14:paraId="6F1C0DA4" w14:textId="25E1EA39" w:rsidR="00A92928" w:rsidRPr="00240112" w:rsidRDefault="00360DF0" w:rsidP="00257271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Уполномоченная организация</w:t>
            </w:r>
            <w:r w:rsidR="00A92928" w:rsidRPr="0024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A92928" w:rsidRPr="00A92928" w14:paraId="7E9DE1CC" w14:textId="77777777" w:rsidTr="00FC65B6">
        <w:trPr>
          <w:cantSplit/>
        </w:trPr>
        <w:tc>
          <w:tcPr>
            <w:tcW w:w="5098" w:type="dxa"/>
            <w:shd w:val="clear" w:color="auto" w:fill="auto"/>
          </w:tcPr>
          <w:p w14:paraId="31568593" w14:textId="77777777" w:rsidR="00A92928" w:rsidRPr="00A92928" w:rsidRDefault="00A92928" w:rsidP="00257271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2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АО «Куприт»</w:t>
            </w:r>
          </w:p>
          <w:p w14:paraId="5F4F22E1" w14:textId="77777777" w:rsidR="00A92928" w:rsidRPr="00A92928" w:rsidRDefault="00A92928" w:rsidP="002572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41" w:type="dxa"/>
            <w:vMerge w:val="restart"/>
            <w:shd w:val="clear" w:color="auto" w:fill="auto"/>
          </w:tcPr>
          <w:p w14:paraId="79FA00B4" w14:textId="77777777" w:rsidR="00A92928" w:rsidRPr="00240112" w:rsidRDefault="00A92928" w:rsidP="00257271">
            <w:pPr>
              <w:widowControl w:val="0"/>
              <w:autoSpaceDE w:val="0"/>
              <w:autoSpaceDN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14:paraId="06F9F9F9" w14:textId="77777777" w:rsidR="00A92928" w:rsidRPr="00240112" w:rsidRDefault="00A92928" w:rsidP="00257271">
            <w:pPr>
              <w:widowControl w:val="0"/>
              <w:autoSpaceDE w:val="0"/>
              <w:autoSpaceDN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F76D3F" w14:textId="77777777" w:rsidR="00A92928" w:rsidRPr="00240112" w:rsidRDefault="00A92928" w:rsidP="00257271">
            <w:pPr>
              <w:widowControl w:val="0"/>
              <w:autoSpaceDE w:val="0"/>
              <w:autoSpaceDN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Юридический/фактический адрес: _____________ ___________________________________________</w:t>
            </w:r>
          </w:p>
          <w:p w14:paraId="3526CEAC" w14:textId="77777777" w:rsidR="00A92928" w:rsidRPr="00240112" w:rsidRDefault="00A92928" w:rsidP="00257271">
            <w:pPr>
              <w:widowControl w:val="0"/>
              <w:autoSpaceDE w:val="0"/>
              <w:autoSpaceDN w:val="0"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адрес: </w:t>
            </w:r>
            <w:r w:rsidRPr="0024011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</w:t>
            </w:r>
          </w:p>
          <w:p w14:paraId="2CD36C96" w14:textId="77777777" w:rsidR="00A92928" w:rsidRPr="00240112" w:rsidRDefault="00A92928" w:rsidP="00257271">
            <w:pPr>
              <w:widowControl w:val="0"/>
              <w:autoSpaceDE w:val="0"/>
              <w:autoSpaceDN w:val="0"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11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45F970A3" w14:textId="77777777" w:rsidR="00A92928" w:rsidRPr="00240112" w:rsidRDefault="00A92928" w:rsidP="00257271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112">
              <w:rPr>
                <w:rFonts w:ascii="Times New Roman" w:eastAsia="Calibri" w:hAnsi="Times New Roman" w:cs="Times New Roman"/>
                <w:sz w:val="20"/>
                <w:szCs w:val="20"/>
              </w:rPr>
              <w:t>ИНН _______________, КПП (для ЮЛ) _________</w:t>
            </w:r>
          </w:p>
          <w:p w14:paraId="0D62F542" w14:textId="77777777" w:rsidR="00A92928" w:rsidRPr="00240112" w:rsidRDefault="00A92928" w:rsidP="00257271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40112">
              <w:rPr>
                <w:rFonts w:ascii="Times New Roman" w:eastAsia="Calibri" w:hAnsi="Times New Roman" w:cs="Times New Roman"/>
                <w:sz w:val="20"/>
                <w:szCs w:val="20"/>
              </w:rPr>
              <w:t>ОГРН  _</w:t>
            </w:r>
            <w:proofErr w:type="gramEnd"/>
            <w:r w:rsidRPr="0024011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</w:t>
            </w:r>
          </w:p>
          <w:p w14:paraId="2867A8DD" w14:textId="77777777" w:rsidR="00A92928" w:rsidRPr="00240112" w:rsidRDefault="00A92928" w:rsidP="00257271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112">
              <w:rPr>
                <w:rFonts w:ascii="Times New Roman" w:eastAsia="Calibri" w:hAnsi="Times New Roman" w:cs="Times New Roman"/>
                <w:sz w:val="20"/>
                <w:szCs w:val="20"/>
              </w:rPr>
              <w:t>Тел.:  +7 ___________________________________</w:t>
            </w:r>
          </w:p>
          <w:p w14:paraId="2BC5EF7E" w14:textId="77777777" w:rsidR="00A92928" w:rsidRPr="00240112" w:rsidRDefault="00A92928" w:rsidP="00257271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11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2401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24011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240112">
              <w:rPr>
                <w:rFonts w:ascii="Times New Roman" w:eastAsia="Calibri" w:hAnsi="Times New Roman" w:cs="Times New Roman"/>
                <w:sz w:val="20"/>
                <w:szCs w:val="20"/>
              </w:rPr>
              <w:t>: ___________________@______________.</w:t>
            </w:r>
            <w:proofErr w:type="spellStart"/>
            <w:r w:rsidRPr="0024011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63817A01" w14:textId="77777777" w:rsidR="00A92928" w:rsidRPr="00240112" w:rsidRDefault="00A92928" w:rsidP="00257271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327245" w14:textId="77777777" w:rsidR="00A92928" w:rsidRPr="00240112" w:rsidRDefault="00A92928" w:rsidP="00257271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112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Банковские реквизиты:</w:t>
            </w:r>
          </w:p>
          <w:p w14:paraId="1F56AF37" w14:textId="0EE6D704" w:rsidR="00A92928" w:rsidRPr="00240112" w:rsidRDefault="00A92928" w:rsidP="00257271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112">
              <w:rPr>
                <w:rFonts w:ascii="Times New Roman" w:eastAsia="Calibri" w:hAnsi="Times New Roman" w:cs="Times New Roman"/>
                <w:sz w:val="20"/>
                <w:szCs w:val="20"/>
              </w:rPr>
              <w:t>р/с _______________________________________</w:t>
            </w:r>
          </w:p>
          <w:p w14:paraId="5B8C850E" w14:textId="77777777" w:rsidR="00A92928" w:rsidRPr="00240112" w:rsidRDefault="00A92928" w:rsidP="00257271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112">
              <w:rPr>
                <w:rFonts w:ascii="Times New Roman" w:eastAsia="Calibri" w:hAnsi="Times New Roman" w:cs="Times New Roman"/>
                <w:sz w:val="20"/>
                <w:szCs w:val="20"/>
              </w:rPr>
              <w:t>Банк ______________________________________</w:t>
            </w:r>
          </w:p>
          <w:p w14:paraId="38D94D24" w14:textId="48D36CB9" w:rsidR="00A92928" w:rsidRPr="00240112" w:rsidRDefault="00A92928" w:rsidP="00257271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1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к/с _______________________________________ </w:t>
            </w:r>
          </w:p>
          <w:p w14:paraId="03713CDE" w14:textId="77777777" w:rsidR="00A92928" w:rsidRPr="00240112" w:rsidRDefault="00A92928" w:rsidP="00257271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112">
              <w:rPr>
                <w:rFonts w:ascii="Times New Roman" w:eastAsia="Calibri" w:hAnsi="Times New Roman" w:cs="Times New Roman"/>
                <w:sz w:val="20"/>
                <w:szCs w:val="20"/>
              </w:rPr>
              <w:t>БИК ______________________________________</w:t>
            </w:r>
          </w:p>
          <w:p w14:paraId="2A38BB82" w14:textId="77777777" w:rsidR="00A92928" w:rsidRPr="00240112" w:rsidRDefault="00A92928" w:rsidP="00257271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7E402B" w14:textId="77777777" w:rsidR="00A92928" w:rsidRPr="00240112" w:rsidRDefault="00A92928" w:rsidP="00257271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709892" w14:textId="77777777" w:rsidR="00A92928" w:rsidRPr="00240112" w:rsidRDefault="00A92928" w:rsidP="00257271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9A08E9" w14:textId="77777777" w:rsidR="00A92928" w:rsidRPr="00240112" w:rsidRDefault="00A92928" w:rsidP="00257271">
            <w:pPr>
              <w:widowControl w:val="0"/>
              <w:autoSpaceDE w:val="0"/>
              <w:autoSpaceDN w:val="0"/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548D64" w14:textId="77777777" w:rsidR="00A92928" w:rsidRPr="00240112" w:rsidRDefault="00A92928" w:rsidP="00257271">
            <w:pPr>
              <w:widowControl w:val="0"/>
              <w:autoSpaceDE w:val="0"/>
              <w:autoSpaceDN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C0F864" w14:textId="77777777" w:rsidR="00A92928" w:rsidRPr="00240112" w:rsidRDefault="00A92928" w:rsidP="00257271">
            <w:pPr>
              <w:widowControl w:val="0"/>
              <w:autoSpaceDE w:val="0"/>
              <w:autoSpaceDN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05DD9D" w14:textId="77777777" w:rsidR="00A92928" w:rsidRPr="00240112" w:rsidRDefault="00A92928" w:rsidP="00257271">
            <w:pPr>
              <w:widowControl w:val="0"/>
              <w:autoSpaceDE w:val="0"/>
              <w:autoSpaceDN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14:paraId="4D1375E0" w14:textId="77777777" w:rsidR="00A92928" w:rsidRPr="00240112" w:rsidRDefault="00A92928" w:rsidP="00257271">
            <w:pPr>
              <w:widowControl w:val="0"/>
              <w:autoSpaceDE w:val="0"/>
              <w:autoSpaceDN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928" w:rsidRPr="00A92928" w14:paraId="1EDCE745" w14:textId="77777777" w:rsidTr="00FC65B6">
        <w:trPr>
          <w:cantSplit/>
          <w:trHeight w:val="5005"/>
        </w:trPr>
        <w:tc>
          <w:tcPr>
            <w:tcW w:w="5098" w:type="dxa"/>
            <w:shd w:val="clear" w:color="auto" w:fill="auto"/>
          </w:tcPr>
          <w:p w14:paraId="09EC3DA2" w14:textId="77777777" w:rsidR="00A92928" w:rsidRPr="00A92928" w:rsidRDefault="00A92928" w:rsidP="002572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/ фактический адрес: </w:t>
            </w:r>
          </w:p>
          <w:p w14:paraId="47052054" w14:textId="77777777" w:rsidR="00A92928" w:rsidRPr="00A92928" w:rsidRDefault="00A92928" w:rsidP="00257271">
            <w:pPr>
              <w:tabs>
                <w:tab w:val="left" w:pos="4461"/>
                <w:tab w:val="center" w:pos="4677"/>
                <w:tab w:val="left" w:pos="5028"/>
                <w:tab w:val="right" w:pos="9355"/>
              </w:tabs>
              <w:spacing w:after="0" w:line="288" w:lineRule="auto"/>
              <w:ind w:righ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610014, Кировская обл., г. Киров, ул. Пугачева, 1Б, </w:t>
            </w:r>
            <w:proofErr w:type="spellStart"/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</w:t>
            </w:r>
            <w:proofErr w:type="spellEnd"/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</w:t>
            </w:r>
            <w:proofErr w:type="spellEnd"/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3/2-11</w:t>
            </w:r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14:paraId="2AB6245D" w14:textId="77777777" w:rsidR="00A92928" w:rsidRPr="00A92928" w:rsidRDefault="00A92928" w:rsidP="00257271">
            <w:pPr>
              <w:tabs>
                <w:tab w:val="left" w:pos="4461"/>
                <w:tab w:val="center" w:pos="4677"/>
                <w:tab w:val="left" w:pos="5028"/>
                <w:tab w:val="right" w:pos="9355"/>
              </w:tabs>
              <w:spacing w:after="0" w:line="288" w:lineRule="auto"/>
              <w:ind w:righ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4346049110, КПП 434501001</w:t>
            </w:r>
          </w:p>
          <w:p w14:paraId="289DC234" w14:textId="77777777" w:rsidR="00A92928" w:rsidRPr="00A92928" w:rsidRDefault="00A92928" w:rsidP="00257271">
            <w:pPr>
              <w:tabs>
                <w:tab w:val="left" w:pos="4461"/>
                <w:tab w:val="center" w:pos="4677"/>
                <w:tab w:val="left" w:pos="5028"/>
                <w:tab w:val="right" w:pos="9355"/>
              </w:tabs>
              <w:spacing w:after="0" w:line="288" w:lineRule="auto"/>
              <w:ind w:right="31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1024301305654</w:t>
            </w:r>
          </w:p>
          <w:p w14:paraId="47300421" w14:textId="77777777" w:rsidR="00A92928" w:rsidRPr="00A92928" w:rsidRDefault="00A92928" w:rsidP="002572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.:</w:t>
            </w:r>
            <w:r w:rsidRPr="00A9292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(8332) </w:t>
            </w:r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63-16-11</w:t>
            </w:r>
          </w:p>
          <w:p w14:paraId="181B4B85" w14:textId="77777777" w:rsidR="00A92928" w:rsidRPr="00A92928" w:rsidRDefault="00A92928" w:rsidP="002572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</w:pPr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cuprit@cuprit.ru</w:t>
            </w:r>
          </w:p>
          <w:p w14:paraId="6A2CE583" w14:textId="77777777" w:rsidR="00A92928" w:rsidRPr="00A92928" w:rsidRDefault="00A92928" w:rsidP="002572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Официальный сайт: </w:t>
            </w:r>
            <w:hyperlink r:id="rId15" w:history="1">
              <w:r w:rsidRPr="00A9292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</w:t>
              </w:r>
              <w:proofErr w:type="spellStart"/>
              <w:r w:rsidRPr="00A9292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cuprit</w:t>
              </w:r>
              <w:proofErr w:type="spellEnd"/>
              <w:r w:rsidRPr="00A9292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A9292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ru</w:t>
              </w:r>
              <w:proofErr w:type="spellEnd"/>
            </w:hyperlink>
          </w:p>
          <w:p w14:paraId="576DB545" w14:textId="77777777" w:rsidR="00A92928" w:rsidRPr="00A92928" w:rsidRDefault="00A92928" w:rsidP="002572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CFFA60" w14:textId="77777777" w:rsidR="00A92928" w:rsidRPr="00A92928" w:rsidRDefault="00A92928" w:rsidP="00257271">
            <w:pPr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13C4F458" w14:textId="77777777" w:rsidR="00A92928" w:rsidRPr="00A92928" w:rsidRDefault="00A92928" w:rsidP="00257271">
            <w:pPr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р/с </w:t>
            </w:r>
            <w:r w:rsidRPr="00A92928">
              <w:rPr>
                <w:rFonts w:ascii="Times New Roman" w:eastAsia="Calibri" w:hAnsi="Times New Roman" w:cs="Times New Roman"/>
                <w:sz w:val="20"/>
                <w:szCs w:val="20"/>
              </w:rPr>
              <w:t>40702810500500000076</w:t>
            </w:r>
          </w:p>
          <w:p w14:paraId="05DE81AE" w14:textId="77777777" w:rsidR="00A92928" w:rsidRPr="00A92928" w:rsidRDefault="00A92928" w:rsidP="00257271">
            <w:pPr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2928">
              <w:rPr>
                <w:rFonts w:ascii="Times New Roman" w:eastAsia="Calibri" w:hAnsi="Times New Roman" w:cs="Times New Roman"/>
                <w:sz w:val="20"/>
                <w:szCs w:val="20"/>
              </w:rPr>
              <w:t>в АО КБ «Хлынов»</w:t>
            </w:r>
          </w:p>
          <w:p w14:paraId="44219C0B" w14:textId="77777777" w:rsidR="00A92928" w:rsidRPr="00A92928" w:rsidRDefault="00A92928" w:rsidP="00257271">
            <w:pPr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к/с </w:t>
            </w:r>
            <w:r w:rsidRPr="00A92928">
              <w:rPr>
                <w:rFonts w:ascii="Times New Roman" w:eastAsia="Calibri" w:hAnsi="Times New Roman" w:cs="Times New Roman"/>
                <w:sz w:val="20"/>
                <w:szCs w:val="20"/>
              </w:rPr>
              <w:t>30101810100000000711</w:t>
            </w:r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86C35CD" w14:textId="77777777" w:rsidR="00A92928" w:rsidRPr="00A92928" w:rsidRDefault="00A92928" w:rsidP="00257271">
            <w:pPr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</w:t>
            </w:r>
            <w:r w:rsidRPr="00A92928">
              <w:rPr>
                <w:rFonts w:ascii="Times New Roman" w:eastAsia="Calibri" w:hAnsi="Times New Roman" w:cs="Times New Roman"/>
                <w:sz w:val="20"/>
                <w:szCs w:val="20"/>
              </w:rPr>
              <w:t>043304711</w:t>
            </w:r>
          </w:p>
          <w:p w14:paraId="4A58D137" w14:textId="77777777" w:rsidR="00A92928" w:rsidRPr="00A92928" w:rsidRDefault="00A92928" w:rsidP="00257271">
            <w:pPr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5EF95B" w14:textId="77777777" w:rsidR="00A92928" w:rsidRPr="00A92928" w:rsidRDefault="00A92928" w:rsidP="00257271">
            <w:pPr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Менеджер:</w:t>
            </w:r>
            <w:r w:rsidRPr="00A929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________________________________</w:t>
            </w:r>
          </w:p>
          <w:p w14:paraId="7290F1BF" w14:textId="77777777" w:rsidR="00A92928" w:rsidRPr="00A92928" w:rsidRDefault="00A92928" w:rsidP="00257271">
            <w:pPr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97167C" w14:textId="77777777" w:rsidR="00A92928" w:rsidRPr="00A92928" w:rsidRDefault="00A92928" w:rsidP="00257271">
            <w:pPr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4674AD" w14:textId="77777777" w:rsidR="00A92928" w:rsidRPr="00A92928" w:rsidRDefault="00A92928" w:rsidP="00257271">
            <w:pPr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F704AF" w14:textId="77777777" w:rsidR="00A92928" w:rsidRPr="00A92928" w:rsidRDefault="00A92928" w:rsidP="00257271">
            <w:pPr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2928">
              <w:rPr>
                <w:rFonts w:ascii="Times New Roman" w:eastAsia="Calibri" w:hAnsi="Times New Roman" w:cs="Times New Roman"/>
                <w:sz w:val="20"/>
                <w:szCs w:val="20"/>
              </w:rPr>
              <w:t>Генеральный директор</w:t>
            </w:r>
          </w:p>
          <w:p w14:paraId="2C7BA6BC" w14:textId="77777777" w:rsidR="00A92928" w:rsidRPr="00A92928" w:rsidRDefault="00A92928" w:rsidP="00257271">
            <w:pPr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shd w:val="clear" w:color="auto" w:fill="auto"/>
          </w:tcPr>
          <w:p w14:paraId="1EB84933" w14:textId="77777777" w:rsidR="00A92928" w:rsidRPr="00240112" w:rsidRDefault="00A92928" w:rsidP="00257271">
            <w:pPr>
              <w:widowControl w:val="0"/>
              <w:autoSpaceDE w:val="0"/>
              <w:autoSpaceDN w:val="0"/>
              <w:snapToGrid w:val="0"/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928" w:rsidRPr="00A92928" w14:paraId="5889191D" w14:textId="77777777" w:rsidTr="00FC65B6">
        <w:trPr>
          <w:cantSplit/>
          <w:trHeight w:val="560"/>
        </w:trPr>
        <w:tc>
          <w:tcPr>
            <w:tcW w:w="5098" w:type="dxa"/>
            <w:shd w:val="clear" w:color="auto" w:fill="auto"/>
          </w:tcPr>
          <w:p w14:paraId="1BA10F52" w14:textId="77777777" w:rsidR="00A92928" w:rsidRPr="00A92928" w:rsidRDefault="00A92928" w:rsidP="00257271">
            <w:pPr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 /   И.М. </w:t>
            </w:r>
            <w:proofErr w:type="spellStart"/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Гизатуллин</w:t>
            </w:r>
            <w:proofErr w:type="spellEnd"/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/</w:t>
            </w:r>
          </w:p>
          <w:p w14:paraId="0CD57AAF" w14:textId="77777777" w:rsidR="00A92928" w:rsidRPr="00A92928" w:rsidRDefault="00A92928" w:rsidP="002572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A92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1" w:type="dxa"/>
            <w:shd w:val="clear" w:color="auto" w:fill="auto"/>
          </w:tcPr>
          <w:p w14:paraId="74D04065" w14:textId="77777777" w:rsidR="00A92928" w:rsidRPr="00240112" w:rsidRDefault="00A92928" w:rsidP="00257271">
            <w:pPr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401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____________________ / </w:t>
            </w:r>
            <w:r w:rsidRPr="0024011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_____________________/</w:t>
            </w:r>
          </w:p>
          <w:p w14:paraId="74436510" w14:textId="77777777" w:rsidR="00A92928" w:rsidRPr="00240112" w:rsidRDefault="00A92928" w:rsidP="00257271">
            <w:pPr>
              <w:widowControl w:val="0"/>
              <w:autoSpaceDE w:val="0"/>
              <w:autoSpaceDN w:val="0"/>
              <w:snapToGrid w:val="0"/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2401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24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</w:p>
        </w:tc>
      </w:tr>
      <w:bookmarkEnd w:id="8"/>
    </w:tbl>
    <w:p w14:paraId="4AA637F4" w14:textId="65BD7A4F" w:rsidR="00A92928" w:rsidRDefault="00A92928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A01B6DC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ED10B7C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4B26DAA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C25CF87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2DB5722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3AA7729" w14:textId="77777777" w:rsidR="0044529C" w:rsidRPr="002B30D0" w:rsidRDefault="0044529C" w:rsidP="00257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44529C" w:rsidRPr="002B30D0" w:rsidSect="002F65B4">
          <w:footerReference w:type="default" r:id="rId16"/>
          <w:headerReference w:type="first" r:id="rId17"/>
          <w:footerReference w:type="first" r:id="rId18"/>
          <w:pgSz w:w="11906" w:h="16838"/>
          <w:pgMar w:top="633" w:right="707" w:bottom="567" w:left="1560" w:header="284" w:footer="0" w:gutter="0"/>
          <w:cols w:space="720"/>
          <w:noEndnote/>
          <w:titlePg/>
          <w:docGrid w:linePitch="299"/>
        </w:sectPr>
      </w:pPr>
    </w:p>
    <w:p w14:paraId="0480A58E" w14:textId="77777777" w:rsidR="009752C9" w:rsidRPr="00BC0DCD" w:rsidRDefault="009752C9" w:rsidP="00257271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BC0DCD">
        <w:rPr>
          <w:rFonts w:ascii="Times New Roman" w:hAnsi="Times New Roman" w:cs="Times New Roman"/>
          <w:color w:val="000000" w:themeColor="text1"/>
          <w:sz w:val="20"/>
        </w:rPr>
        <w:lastRenderedPageBreak/>
        <w:t xml:space="preserve">Приложение №1 </w:t>
      </w:r>
    </w:p>
    <w:p w14:paraId="35366362" w14:textId="587E0234" w:rsidR="00C82FC0" w:rsidRPr="002B30D0" w:rsidRDefault="00C82FC0" w:rsidP="00257271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>к договору № ______________________   /</w:t>
      </w:r>
      <w:proofErr w:type="gramStart"/>
      <w:r w:rsidRPr="002B30D0">
        <w:rPr>
          <w:rFonts w:ascii="Times New Roman" w:hAnsi="Times New Roman" w:cs="Times New Roman"/>
          <w:color w:val="000000" w:themeColor="text1"/>
          <w:sz w:val="20"/>
        </w:rPr>
        <w:t>ТКО  от</w:t>
      </w:r>
      <w:proofErr w:type="gramEnd"/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  __________________ </w:t>
      </w:r>
    </w:p>
    <w:p w14:paraId="028F738F" w14:textId="77777777" w:rsidR="00C82FC0" w:rsidRPr="002B30D0" w:rsidRDefault="00C82FC0" w:rsidP="00257271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 xml:space="preserve"> на оказание услуг по обращению с ТКО</w:t>
      </w:r>
    </w:p>
    <w:p w14:paraId="5450D6F7" w14:textId="77777777" w:rsidR="00C82FC0" w:rsidRPr="002B30D0" w:rsidRDefault="00C82FC0" w:rsidP="00257271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3C53AD68" w14:textId="77777777" w:rsidR="00C82FC0" w:rsidRPr="002B30D0" w:rsidRDefault="00C82FC0" w:rsidP="00257271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9" w:name="P183"/>
      <w:bookmarkEnd w:id="9"/>
      <w:r w:rsidRPr="002B30D0">
        <w:rPr>
          <w:rFonts w:ascii="Times New Roman" w:hAnsi="Times New Roman" w:cs="Times New Roman"/>
          <w:color w:val="000000" w:themeColor="text1"/>
          <w:sz w:val="20"/>
        </w:rPr>
        <w:t>ИНФОРМАЦИЯ ПО ПРЕДМЕТУ ДОГОВОРА</w:t>
      </w:r>
    </w:p>
    <w:p w14:paraId="75FCA528" w14:textId="77777777" w:rsidR="00430F87" w:rsidRPr="002B30D0" w:rsidRDefault="00430F87" w:rsidP="00257271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2B30D0">
        <w:rPr>
          <w:rFonts w:ascii="Times New Roman" w:hAnsi="Times New Roman" w:cs="Times New Roman"/>
          <w:color w:val="000000" w:themeColor="text1"/>
          <w:sz w:val="20"/>
        </w:rPr>
        <w:t>на оказание услуг по обращению с ТКО</w:t>
      </w:r>
    </w:p>
    <w:p w14:paraId="713039EF" w14:textId="77777777" w:rsidR="00C82FC0" w:rsidRPr="002B30D0" w:rsidRDefault="00C82FC0" w:rsidP="00257271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622B66C8" w14:textId="753877DF" w:rsidR="00C82FC0" w:rsidRPr="002B30D0" w:rsidRDefault="007C29AE" w:rsidP="00257271">
      <w:pPr>
        <w:pStyle w:val="ConsPlusNormal"/>
        <w:ind w:left="567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1. </w:t>
      </w:r>
      <w:r w:rsidR="00C82FC0" w:rsidRPr="002B30D0">
        <w:rPr>
          <w:rFonts w:ascii="Times New Roman" w:hAnsi="Times New Roman" w:cs="Times New Roman"/>
          <w:color w:val="000000" w:themeColor="text1"/>
          <w:sz w:val="20"/>
        </w:rPr>
        <w:t>Объем и место (площадка) накопления твердых коммунальных отходов</w:t>
      </w:r>
    </w:p>
    <w:p w14:paraId="3612E24B" w14:textId="77777777" w:rsidR="00C82FC0" w:rsidRPr="002B30D0" w:rsidRDefault="00C82FC0" w:rsidP="00257271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tbl>
      <w:tblPr>
        <w:tblStyle w:val="aa"/>
        <w:tblW w:w="1551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65"/>
        <w:gridCol w:w="1078"/>
        <w:gridCol w:w="992"/>
        <w:gridCol w:w="992"/>
        <w:gridCol w:w="851"/>
        <w:gridCol w:w="850"/>
        <w:gridCol w:w="1134"/>
        <w:gridCol w:w="851"/>
        <w:gridCol w:w="1276"/>
        <w:gridCol w:w="992"/>
        <w:gridCol w:w="1275"/>
        <w:gridCol w:w="1277"/>
        <w:gridCol w:w="1235"/>
        <w:gridCol w:w="1235"/>
      </w:tblGrid>
      <w:tr w:rsidR="00430F87" w:rsidRPr="002B30D0" w14:paraId="69B93748" w14:textId="77777777" w:rsidTr="00C04A8D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E4B3" w14:textId="77777777" w:rsidR="00430F87" w:rsidRPr="002B30D0" w:rsidRDefault="00430F87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bookmarkStart w:id="10" w:name="_Hlk206592934"/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7E9E" w14:textId="77777777" w:rsidR="00430F87" w:rsidRPr="002B30D0" w:rsidRDefault="00430F87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Период начисления платы </w:t>
            </w:r>
            <w:r w:rsidRPr="002B30D0">
              <w:rPr>
                <w:rStyle w:val="a9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5A34" w14:textId="77777777" w:rsidR="00430F87" w:rsidRPr="002B30D0" w:rsidRDefault="00430F87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объекта (источника ТКО)/адрес места нахождения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3875" w14:textId="77777777" w:rsidR="00430F87" w:rsidRPr="002B30D0" w:rsidRDefault="00430F87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Категория объекта/</w:t>
            </w:r>
          </w:p>
          <w:p w14:paraId="13E9C9DB" w14:textId="77777777" w:rsidR="00430F87" w:rsidRPr="002B30D0" w:rsidRDefault="00430F87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Код ТКО по ФККО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9906" w14:textId="77777777" w:rsidR="00430F87" w:rsidRPr="002B30D0" w:rsidRDefault="00430F87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Место накопления (площадка) ТКО/КГО </w:t>
            </w:r>
            <w:r w:rsidRPr="002B30D0">
              <w:rPr>
                <w:rStyle w:val="a9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83313" w14:textId="77777777" w:rsidR="00430F87" w:rsidRPr="002B30D0" w:rsidRDefault="00430F87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Способ </w:t>
            </w:r>
            <w:proofErr w:type="spellStart"/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склади-рования</w:t>
            </w:r>
            <w:proofErr w:type="spellEnd"/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ТКО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4D13" w14:textId="77777777" w:rsidR="00430F87" w:rsidRPr="002B30D0" w:rsidRDefault="00430F87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Способ учета объема ТКО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9E68" w14:textId="77777777" w:rsidR="00430F87" w:rsidRPr="002B30D0" w:rsidRDefault="00430F87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 объема исходя из количества и объема контейнеров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C0B8" w14:textId="77777777" w:rsidR="00430F87" w:rsidRPr="002B30D0" w:rsidRDefault="00430F87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 объема исходя из нормативов накопления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00A83" w14:textId="77777777" w:rsidR="00430F87" w:rsidRPr="002B30D0" w:rsidRDefault="00430F87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Объем принимаемых ТКО </w:t>
            </w:r>
          </w:p>
          <w:p w14:paraId="0BC04239" w14:textId="77777777" w:rsidR="00430F87" w:rsidRPr="002B30D0" w:rsidRDefault="00430F87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430F87" w:rsidRPr="002B30D0" w14:paraId="2FC11324" w14:textId="77777777" w:rsidTr="00156B46">
        <w:trPr>
          <w:trHeight w:val="9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B64D" w14:textId="77777777" w:rsidR="00430F87" w:rsidRPr="002B30D0" w:rsidRDefault="00430F87" w:rsidP="00257271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6617" w14:textId="77777777" w:rsidR="00430F87" w:rsidRPr="002B30D0" w:rsidRDefault="00430F87" w:rsidP="00257271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4A15" w14:textId="77777777" w:rsidR="00430F87" w:rsidRPr="002B30D0" w:rsidRDefault="00430F87" w:rsidP="00257271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091B" w14:textId="77777777" w:rsidR="00430F87" w:rsidRPr="002B30D0" w:rsidRDefault="00430F87" w:rsidP="00257271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25D9" w14:textId="77777777" w:rsidR="00430F87" w:rsidRPr="002B30D0" w:rsidRDefault="00430F87" w:rsidP="00257271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FC41" w14:textId="77777777" w:rsidR="00430F87" w:rsidRPr="002B30D0" w:rsidRDefault="00430F87" w:rsidP="00257271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1E5C" w14:textId="77777777" w:rsidR="00430F87" w:rsidRPr="002B30D0" w:rsidRDefault="00430F87" w:rsidP="00257271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739B" w14:textId="77777777" w:rsidR="00430F87" w:rsidRPr="002B30D0" w:rsidRDefault="00430F87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Количество контейнеров,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E663" w14:textId="77777777" w:rsidR="00430F87" w:rsidRPr="002B30D0" w:rsidRDefault="00430F87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Объем контейнеров, </w:t>
            </w:r>
            <w:proofErr w:type="spellStart"/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3F14" w14:textId="43F25C1B" w:rsidR="00430F87" w:rsidRPr="002B30D0" w:rsidRDefault="00DA4C80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График</w:t>
            </w:r>
            <w:r w:rsidR="00430F87"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вывоза 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B74F" w14:textId="77777777" w:rsidR="00430F87" w:rsidRPr="002B30D0" w:rsidRDefault="00430F87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Расчетная 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31C1" w14:textId="77777777" w:rsidR="00430F87" w:rsidRPr="002B30D0" w:rsidRDefault="00430F87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Показатель расчетной единицы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B412" w14:textId="77777777" w:rsidR="00430F87" w:rsidRPr="002B30D0" w:rsidRDefault="00430F87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Норматив накопления ТКО,</w:t>
            </w:r>
          </w:p>
          <w:p w14:paraId="3C71F33A" w14:textId="77777777" w:rsidR="00430F87" w:rsidRPr="002B30D0" w:rsidRDefault="00430F87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в год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C5FE" w14:textId="7C0BE893" w:rsidR="00430F87" w:rsidRPr="002B30D0" w:rsidRDefault="00BE10B5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</w:t>
            </w:r>
            <w:r w:rsidR="00430F87"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год, </w:t>
            </w:r>
          </w:p>
          <w:p w14:paraId="05949DE2" w14:textId="77777777" w:rsidR="00430F87" w:rsidRPr="002B30D0" w:rsidRDefault="00430F87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6CC9" w14:textId="6E0DA725" w:rsidR="00430F87" w:rsidRPr="002B30D0" w:rsidRDefault="00BE10B5" w:rsidP="00257271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З</w:t>
            </w:r>
            <w:r w:rsidR="00430F87" w:rsidRPr="002B30D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а период действия договора </w:t>
            </w:r>
            <w:r w:rsidR="00430F87" w:rsidRPr="002B30D0">
              <w:rPr>
                <w:rStyle w:val="a9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3"/>
            </w:r>
          </w:p>
        </w:tc>
      </w:tr>
      <w:tr w:rsidR="00430F87" w:rsidRPr="002B30D0" w14:paraId="2FFEE213" w14:textId="77777777" w:rsidTr="00E708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27CB" w14:textId="77777777" w:rsidR="00430F87" w:rsidRPr="002B30D0" w:rsidRDefault="00430F87" w:rsidP="00257271">
            <w:pPr>
              <w:pStyle w:val="ConsPlusNormal"/>
              <w:ind w:left="-566" w:firstLine="567"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56CF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28A7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6642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D8C6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2C3A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7022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1A2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C00F" w14:textId="77777777" w:rsidR="00430F87" w:rsidRPr="002B30D0" w:rsidRDefault="00430F87" w:rsidP="00257271">
            <w:pPr>
              <w:pStyle w:val="ConsPlusNormal"/>
              <w:ind w:firstLine="321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A883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71BF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9A29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CE57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C955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10.1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0BE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B30D0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10.2</w:t>
            </w:r>
          </w:p>
        </w:tc>
      </w:tr>
      <w:tr w:rsidR="00430F87" w:rsidRPr="002B30D0" w14:paraId="2A862226" w14:textId="77777777" w:rsidTr="00257271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BFB4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3D33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9B15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2808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859C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8F2F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CBED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1260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A718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22BB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36B4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57E7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21D1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3428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A538" w14:textId="77777777" w:rsidR="00430F87" w:rsidRPr="002B30D0" w:rsidRDefault="00430F87" w:rsidP="0025727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bookmarkEnd w:id="10"/>
    </w:tbl>
    <w:p w14:paraId="417B6AC4" w14:textId="77777777" w:rsidR="00C82FC0" w:rsidRPr="002B30D0" w:rsidRDefault="00C82FC0" w:rsidP="00257271">
      <w:pPr>
        <w:pStyle w:val="ConsPlusNormal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p w14:paraId="36BBCB87" w14:textId="77777777" w:rsidR="00C82FC0" w:rsidRPr="002B30D0" w:rsidRDefault="00C82FC0" w:rsidP="00257271">
      <w:pPr>
        <w:pStyle w:val="ConsPlusNormal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p w14:paraId="5D7BCA37" w14:textId="77777777" w:rsidR="00C82FC0" w:rsidRPr="002B30D0" w:rsidRDefault="00C82FC0" w:rsidP="00257271">
      <w:pPr>
        <w:pStyle w:val="ConsPlusNormal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p w14:paraId="78F284DB" w14:textId="77777777" w:rsidR="00C82FC0" w:rsidRPr="002B30D0" w:rsidRDefault="00C82FC0" w:rsidP="00257271">
      <w:pPr>
        <w:pStyle w:val="ConsPlusNormal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p w14:paraId="6821FDA5" w14:textId="77777777" w:rsidR="00C82FC0" w:rsidRPr="002B30D0" w:rsidRDefault="00C82FC0" w:rsidP="00257271">
      <w:pPr>
        <w:pStyle w:val="ConsPlusNormal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tbl>
      <w:tblPr>
        <w:tblpPr w:leftFromText="180" w:rightFromText="180" w:vertAnchor="text" w:horzAnchor="margin" w:tblpY="385"/>
        <w:tblW w:w="0" w:type="auto"/>
        <w:tblLayout w:type="fixed"/>
        <w:tblLook w:val="04A0" w:firstRow="1" w:lastRow="0" w:firstColumn="1" w:lastColumn="0" w:noHBand="0" w:noVBand="1"/>
      </w:tblPr>
      <w:tblGrid>
        <w:gridCol w:w="7371"/>
        <w:gridCol w:w="7513"/>
      </w:tblGrid>
      <w:tr w:rsidR="00AA32C5" w:rsidRPr="002B30D0" w14:paraId="5C35F82E" w14:textId="77777777" w:rsidTr="00EF2E05">
        <w:trPr>
          <w:trHeight w:val="194"/>
        </w:trPr>
        <w:tc>
          <w:tcPr>
            <w:tcW w:w="7371" w:type="dxa"/>
            <w:hideMark/>
          </w:tcPr>
          <w:p w14:paraId="7B0C8A0A" w14:textId="77777777" w:rsidR="00C82FC0" w:rsidRPr="002B30D0" w:rsidRDefault="00C82FC0" w:rsidP="00257271">
            <w:pPr>
              <w:pStyle w:val="ConsPlusNormal"/>
              <w:ind w:firstLine="567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 оператор:</w:t>
            </w:r>
          </w:p>
          <w:p w14:paraId="2B189F70" w14:textId="77777777" w:rsidR="00C82FC0" w:rsidRPr="002B30D0" w:rsidRDefault="00C82FC0" w:rsidP="00257271">
            <w:pPr>
              <w:pStyle w:val="ConsPlusNormal"/>
              <w:ind w:firstLine="567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20"/>
                <w:lang w:eastAsia="ru-RU"/>
              </w:rPr>
              <w:t>АО «Куприт»</w:t>
            </w:r>
          </w:p>
        </w:tc>
        <w:tc>
          <w:tcPr>
            <w:tcW w:w="7513" w:type="dxa"/>
            <w:hideMark/>
          </w:tcPr>
          <w:p w14:paraId="6AA964A0" w14:textId="67A9E46F" w:rsidR="00C82FC0" w:rsidRPr="002B30D0" w:rsidRDefault="00C82FC0" w:rsidP="00257271">
            <w:pPr>
              <w:pStyle w:val="ConsPlusNormal"/>
              <w:ind w:firstLine="567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20"/>
              </w:rPr>
              <w:t>Уполномоченная организация:</w:t>
            </w:r>
          </w:p>
          <w:p w14:paraId="7F863F43" w14:textId="77777777" w:rsidR="00C82FC0" w:rsidRPr="002B30D0" w:rsidRDefault="00C82FC0" w:rsidP="00257271">
            <w:pPr>
              <w:pStyle w:val="ConsPlusNormal"/>
              <w:ind w:firstLine="567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______________________________________________</w:t>
            </w:r>
          </w:p>
        </w:tc>
      </w:tr>
      <w:tr w:rsidR="00AA32C5" w:rsidRPr="00AA32C5" w14:paraId="34F13A0B" w14:textId="77777777" w:rsidTr="00EF2E05">
        <w:trPr>
          <w:cantSplit/>
          <w:trHeight w:val="204"/>
        </w:trPr>
        <w:tc>
          <w:tcPr>
            <w:tcW w:w="7371" w:type="dxa"/>
          </w:tcPr>
          <w:p w14:paraId="1D7EECE2" w14:textId="77777777" w:rsidR="00C82FC0" w:rsidRPr="002B30D0" w:rsidRDefault="00C82FC0" w:rsidP="00257271">
            <w:pPr>
              <w:spacing w:after="0"/>
              <w:ind w:firstLine="56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524A5B" w14:textId="77777777" w:rsidR="00C82FC0" w:rsidRPr="002B30D0" w:rsidRDefault="00C82FC0" w:rsidP="00257271">
            <w:pPr>
              <w:spacing w:after="0"/>
              <w:ind w:firstLine="56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30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2B30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  /</w:t>
            </w:r>
            <w:proofErr w:type="gramEnd"/>
            <w:r w:rsidRPr="002B30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И.М. </w:t>
            </w:r>
            <w:proofErr w:type="spellStart"/>
            <w:r w:rsidRPr="002B30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Гизатуллин</w:t>
            </w:r>
            <w:proofErr w:type="spellEnd"/>
            <w:r w:rsidRPr="002B30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/</w:t>
            </w:r>
          </w:p>
          <w:p w14:paraId="54FB5DFF" w14:textId="77777777" w:rsidR="00C82FC0" w:rsidRPr="002B30D0" w:rsidRDefault="00C82FC0" w:rsidP="00257271">
            <w:pPr>
              <w:spacing w:after="0"/>
              <w:ind w:firstLine="56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30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м.п</w:t>
            </w:r>
            <w:proofErr w:type="spellEnd"/>
            <w:r w:rsidRPr="002B30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13" w:type="dxa"/>
          </w:tcPr>
          <w:p w14:paraId="4A51F0C7" w14:textId="77777777" w:rsidR="00C82FC0" w:rsidRPr="002B30D0" w:rsidRDefault="00C82FC0" w:rsidP="00257271">
            <w:pPr>
              <w:spacing w:after="0"/>
              <w:ind w:firstLine="56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8EE6C6" w14:textId="77777777" w:rsidR="00C82FC0" w:rsidRPr="002B30D0" w:rsidRDefault="00C82FC0" w:rsidP="00257271">
            <w:pPr>
              <w:spacing w:after="0"/>
              <w:ind w:firstLine="56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3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</w:t>
            </w:r>
            <w:r w:rsidRPr="002B3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B3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2B3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_________________________</w:t>
            </w:r>
            <w:r w:rsidRPr="002B3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14:paraId="393803A9" w14:textId="77777777" w:rsidR="00C82FC0" w:rsidRPr="00AA32C5" w:rsidRDefault="00C82FC0" w:rsidP="00257271">
            <w:pPr>
              <w:spacing w:after="0"/>
              <w:ind w:firstLine="56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30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м.п</w:t>
            </w:r>
            <w:proofErr w:type="spellEnd"/>
            <w:r w:rsidRPr="002B30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</w:tbl>
    <w:p w14:paraId="254C950F" w14:textId="77777777" w:rsidR="00C82FC0" w:rsidRPr="00AA32C5" w:rsidRDefault="00C82FC0" w:rsidP="002572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B83996" w14:textId="77777777" w:rsidR="0021780A" w:rsidRPr="00AA32C5" w:rsidRDefault="0021780A" w:rsidP="0025727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21780A" w:rsidRPr="00AA32C5" w:rsidSect="00C82FC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177F" w14:textId="77777777" w:rsidR="00E31410" w:rsidRDefault="00E31410" w:rsidP="00E31410">
      <w:pPr>
        <w:spacing w:after="0" w:line="240" w:lineRule="auto"/>
      </w:pPr>
      <w:r>
        <w:separator/>
      </w:r>
    </w:p>
  </w:endnote>
  <w:endnote w:type="continuationSeparator" w:id="0">
    <w:p w14:paraId="416B6448" w14:textId="77777777" w:rsidR="00E31410" w:rsidRDefault="00E31410" w:rsidP="00E3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3805392"/>
      <w:docPartObj>
        <w:docPartGallery w:val="Page Numbers (Bottom of Page)"/>
        <w:docPartUnique/>
      </w:docPartObj>
    </w:sdtPr>
    <w:sdtEndPr/>
    <w:sdtContent>
      <w:p w14:paraId="3273C2C2" w14:textId="7FE40C59" w:rsidR="00EF009A" w:rsidRDefault="00EF009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19AEA" w14:textId="77777777" w:rsidR="00AA32C5" w:rsidRDefault="00AA32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5675131"/>
      <w:docPartObj>
        <w:docPartGallery w:val="Page Numbers (Bottom of Page)"/>
        <w:docPartUnique/>
      </w:docPartObj>
    </w:sdtPr>
    <w:sdtEndPr/>
    <w:sdtContent>
      <w:p w14:paraId="13A5E06E" w14:textId="47A2250A" w:rsidR="00AA32C5" w:rsidRDefault="00B21283">
        <w:pPr>
          <w:pStyle w:val="a5"/>
          <w:jc w:val="right"/>
        </w:pPr>
      </w:p>
    </w:sdtContent>
  </w:sdt>
  <w:p w14:paraId="6B46BBF7" w14:textId="77777777" w:rsidR="00AA32C5" w:rsidRDefault="00AA32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82BF4" w14:textId="77777777" w:rsidR="00E31410" w:rsidRDefault="00E31410" w:rsidP="00E31410">
      <w:pPr>
        <w:spacing w:after="0" w:line="240" w:lineRule="auto"/>
      </w:pPr>
      <w:r>
        <w:separator/>
      </w:r>
    </w:p>
  </w:footnote>
  <w:footnote w:type="continuationSeparator" w:id="0">
    <w:p w14:paraId="7520F2E4" w14:textId="77777777" w:rsidR="00E31410" w:rsidRDefault="00E31410" w:rsidP="00E31410">
      <w:pPr>
        <w:spacing w:after="0" w:line="240" w:lineRule="auto"/>
      </w:pPr>
      <w:r>
        <w:continuationSeparator/>
      </w:r>
    </w:p>
  </w:footnote>
  <w:footnote w:id="1">
    <w:p w14:paraId="76D8C63F" w14:textId="447F0C9B" w:rsidR="00430F87" w:rsidRPr="00305365" w:rsidRDefault="00430F87" w:rsidP="00430F87">
      <w:pPr>
        <w:pStyle w:val="a7"/>
        <w:rPr>
          <w:rFonts w:ascii="Times New Roman" w:hAnsi="Times New Roman"/>
          <w:i/>
          <w:iCs/>
          <w:sz w:val="16"/>
          <w:szCs w:val="16"/>
        </w:rPr>
      </w:pPr>
      <w:r w:rsidRPr="00305365">
        <w:rPr>
          <w:rFonts w:ascii="Times New Roman" w:hAnsi="Times New Roman"/>
          <w:i/>
          <w:iCs/>
          <w:sz w:val="16"/>
          <w:szCs w:val="16"/>
        </w:rPr>
        <w:footnoteRef/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Заполняется при внесении изменени</w:t>
      </w:r>
      <w:r w:rsidR="00BE10B5">
        <w:rPr>
          <w:rFonts w:ascii="Times New Roman" w:hAnsi="Times New Roman"/>
          <w:i/>
          <w:iCs/>
          <w:sz w:val="16"/>
          <w:szCs w:val="16"/>
        </w:rPr>
        <w:t>й</w:t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условий</w:t>
      </w:r>
      <w:r>
        <w:rPr>
          <w:rFonts w:ascii="Times New Roman" w:hAnsi="Times New Roman"/>
          <w:i/>
          <w:iCs/>
          <w:sz w:val="16"/>
          <w:szCs w:val="16"/>
        </w:rPr>
        <w:t>;</w:t>
      </w:r>
    </w:p>
  </w:footnote>
  <w:footnote w:id="2">
    <w:p w14:paraId="753A52CC" w14:textId="77777777" w:rsidR="00430F87" w:rsidRPr="00305365" w:rsidRDefault="00430F87" w:rsidP="00430F87">
      <w:pPr>
        <w:pStyle w:val="a7"/>
        <w:rPr>
          <w:rFonts w:ascii="Times New Roman" w:hAnsi="Times New Roman"/>
          <w:i/>
          <w:iCs/>
          <w:sz w:val="16"/>
          <w:szCs w:val="16"/>
        </w:rPr>
      </w:pPr>
      <w:r w:rsidRPr="00305365">
        <w:rPr>
          <w:rFonts w:ascii="Times New Roman" w:hAnsi="Times New Roman"/>
          <w:i/>
          <w:iCs/>
          <w:sz w:val="16"/>
          <w:szCs w:val="16"/>
        </w:rPr>
        <w:footnoteRef/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Определяется в соответствии с реестром мест накоплений</w:t>
      </w:r>
      <w:r>
        <w:rPr>
          <w:rFonts w:ascii="Times New Roman" w:hAnsi="Times New Roman"/>
          <w:i/>
          <w:iCs/>
          <w:sz w:val="16"/>
          <w:szCs w:val="16"/>
        </w:rPr>
        <w:t>;</w:t>
      </w:r>
    </w:p>
  </w:footnote>
  <w:footnote w:id="3">
    <w:p w14:paraId="59875C4F" w14:textId="77777777" w:rsidR="00430F87" w:rsidRPr="00305365" w:rsidRDefault="00430F87" w:rsidP="00430F87">
      <w:pP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</w:pPr>
      <w:r w:rsidRPr="00305365"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footnoteRef/>
      </w:r>
      <w:r w:rsidRPr="00305365"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t xml:space="preserve"> Заполняется для потребителей, осуществляющих свою деятельность в соответствии с требованиями Федерального закона №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t>.</w:t>
      </w:r>
    </w:p>
    <w:p w14:paraId="38ED3ACF" w14:textId="77777777" w:rsidR="00430F87" w:rsidRDefault="00430F87" w:rsidP="00430F87">
      <w:pPr>
        <w:pStyle w:val="a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BE96" w14:textId="32550042" w:rsidR="00D355BE" w:rsidRPr="00134829" w:rsidRDefault="00D355BE" w:rsidP="00D355BE">
    <w:pPr>
      <w:pStyle w:val="a3"/>
      <w:jc w:val="right"/>
    </w:pPr>
    <w:r w:rsidRPr="00134829">
      <w:rPr>
        <w:rFonts w:ascii="Times New Roman" w:hAnsi="Times New Roman"/>
        <w:sz w:val="20"/>
        <w:szCs w:val="20"/>
      </w:rPr>
      <w:t xml:space="preserve">Шаблон </w:t>
    </w:r>
    <w:r>
      <w:rPr>
        <w:rFonts w:ascii="Times New Roman" w:hAnsi="Times New Roman"/>
        <w:sz w:val="20"/>
        <w:szCs w:val="20"/>
      </w:rPr>
      <w:t>договор</w:t>
    </w:r>
    <w:r w:rsidRPr="00134829">
      <w:rPr>
        <w:rFonts w:ascii="Times New Roman" w:hAnsi="Times New Roman"/>
        <w:sz w:val="20"/>
        <w:szCs w:val="20"/>
      </w:rPr>
      <w:t xml:space="preserve">а для </w:t>
    </w:r>
    <w:r>
      <w:rPr>
        <w:rFonts w:ascii="Times New Roman" w:hAnsi="Times New Roman"/>
        <w:sz w:val="20"/>
        <w:szCs w:val="20"/>
      </w:rPr>
      <w:t>УО, ТСЖ, ЖСК</w:t>
    </w:r>
    <w:r w:rsidRPr="00134829">
      <w:rPr>
        <w:rFonts w:ascii="Times New Roman" w:hAnsi="Times New Roman"/>
        <w:sz w:val="20"/>
        <w:szCs w:val="20"/>
      </w:rPr>
      <w:t xml:space="preserve"> (ЖП)</w:t>
    </w:r>
    <w:r w:rsidR="008E15F7">
      <w:rPr>
        <w:rFonts w:ascii="Times New Roman" w:hAnsi="Times New Roman"/>
        <w:sz w:val="20"/>
        <w:szCs w:val="20"/>
      </w:rPr>
      <w:t>;</w:t>
    </w:r>
    <w:r>
      <w:rPr>
        <w:rFonts w:ascii="Times New Roman" w:hAnsi="Times New Roman"/>
        <w:sz w:val="20"/>
        <w:szCs w:val="20"/>
      </w:rPr>
      <w:t xml:space="preserve"> СНТ</w:t>
    </w:r>
  </w:p>
  <w:p w14:paraId="7CEA4654" w14:textId="03E6CDCC" w:rsidR="00E31410" w:rsidRPr="00D355BE" w:rsidRDefault="00E31410" w:rsidP="00D355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6A73"/>
    <w:multiLevelType w:val="hybridMultilevel"/>
    <w:tmpl w:val="3E3AA532"/>
    <w:lvl w:ilvl="0" w:tplc="A57898C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1E113CB"/>
    <w:multiLevelType w:val="hybridMultilevel"/>
    <w:tmpl w:val="398642C2"/>
    <w:lvl w:ilvl="0" w:tplc="8102C51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9C"/>
    <w:rsid w:val="0001356C"/>
    <w:rsid w:val="00033FE5"/>
    <w:rsid w:val="000C28F1"/>
    <w:rsid w:val="00103D05"/>
    <w:rsid w:val="001463F1"/>
    <w:rsid w:val="00156B46"/>
    <w:rsid w:val="001B7FC4"/>
    <w:rsid w:val="001E736B"/>
    <w:rsid w:val="00205500"/>
    <w:rsid w:val="0021780A"/>
    <w:rsid w:val="00226CC8"/>
    <w:rsid w:val="00240112"/>
    <w:rsid w:val="00257271"/>
    <w:rsid w:val="002B30D0"/>
    <w:rsid w:val="002E5BA4"/>
    <w:rsid w:val="002E6E0F"/>
    <w:rsid w:val="002F65B4"/>
    <w:rsid w:val="00310754"/>
    <w:rsid w:val="003258C4"/>
    <w:rsid w:val="00360DF0"/>
    <w:rsid w:val="003646DC"/>
    <w:rsid w:val="00371F36"/>
    <w:rsid w:val="003A1FE2"/>
    <w:rsid w:val="003E1AEE"/>
    <w:rsid w:val="003F32CB"/>
    <w:rsid w:val="00411572"/>
    <w:rsid w:val="00430F87"/>
    <w:rsid w:val="0044529C"/>
    <w:rsid w:val="004575E2"/>
    <w:rsid w:val="00490A61"/>
    <w:rsid w:val="00496D3F"/>
    <w:rsid w:val="00497995"/>
    <w:rsid w:val="004F22AB"/>
    <w:rsid w:val="00517707"/>
    <w:rsid w:val="00521913"/>
    <w:rsid w:val="00557ED5"/>
    <w:rsid w:val="005F72FC"/>
    <w:rsid w:val="0060224C"/>
    <w:rsid w:val="00652A87"/>
    <w:rsid w:val="006611C5"/>
    <w:rsid w:val="006676C4"/>
    <w:rsid w:val="00694488"/>
    <w:rsid w:val="006A1940"/>
    <w:rsid w:val="006A36E2"/>
    <w:rsid w:val="006E0AAA"/>
    <w:rsid w:val="006E38FA"/>
    <w:rsid w:val="006E3DFD"/>
    <w:rsid w:val="006E7120"/>
    <w:rsid w:val="007307CF"/>
    <w:rsid w:val="007A7360"/>
    <w:rsid w:val="007C29AE"/>
    <w:rsid w:val="007D797E"/>
    <w:rsid w:val="007E5647"/>
    <w:rsid w:val="0081532B"/>
    <w:rsid w:val="00841AD9"/>
    <w:rsid w:val="00862BD5"/>
    <w:rsid w:val="00891B22"/>
    <w:rsid w:val="008D277C"/>
    <w:rsid w:val="008E15F7"/>
    <w:rsid w:val="00902F92"/>
    <w:rsid w:val="00915ADD"/>
    <w:rsid w:val="00935344"/>
    <w:rsid w:val="00940597"/>
    <w:rsid w:val="00941B7B"/>
    <w:rsid w:val="0096288F"/>
    <w:rsid w:val="00964502"/>
    <w:rsid w:val="009752C9"/>
    <w:rsid w:val="009B78BD"/>
    <w:rsid w:val="009C1DC2"/>
    <w:rsid w:val="00A15297"/>
    <w:rsid w:val="00A21A51"/>
    <w:rsid w:val="00A33633"/>
    <w:rsid w:val="00A9124A"/>
    <w:rsid w:val="00A92928"/>
    <w:rsid w:val="00AA32C5"/>
    <w:rsid w:val="00AD4D95"/>
    <w:rsid w:val="00AF60E2"/>
    <w:rsid w:val="00B07D3C"/>
    <w:rsid w:val="00B17B13"/>
    <w:rsid w:val="00B21283"/>
    <w:rsid w:val="00B41DDD"/>
    <w:rsid w:val="00B51EBD"/>
    <w:rsid w:val="00B72005"/>
    <w:rsid w:val="00B90CA4"/>
    <w:rsid w:val="00BE10B5"/>
    <w:rsid w:val="00C04A8D"/>
    <w:rsid w:val="00C120BA"/>
    <w:rsid w:val="00C128C0"/>
    <w:rsid w:val="00C82FC0"/>
    <w:rsid w:val="00CF43AD"/>
    <w:rsid w:val="00D355BE"/>
    <w:rsid w:val="00D61269"/>
    <w:rsid w:val="00D63C03"/>
    <w:rsid w:val="00DA4C80"/>
    <w:rsid w:val="00E31410"/>
    <w:rsid w:val="00E47265"/>
    <w:rsid w:val="00E7699A"/>
    <w:rsid w:val="00ED44F8"/>
    <w:rsid w:val="00EF009A"/>
    <w:rsid w:val="00F25A2D"/>
    <w:rsid w:val="00FD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40FBFD7"/>
  <w15:chartTrackingRefBased/>
  <w15:docId w15:val="{292D8224-50E0-4D18-8B4C-A4BBB527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3141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nhideWhenUsed/>
    <w:rsid w:val="00E3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31410"/>
  </w:style>
  <w:style w:type="paragraph" w:styleId="a5">
    <w:name w:val="footer"/>
    <w:basedOn w:val="a"/>
    <w:link w:val="a6"/>
    <w:uiPriority w:val="99"/>
    <w:unhideWhenUsed/>
    <w:rsid w:val="00E3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410"/>
  </w:style>
  <w:style w:type="paragraph" w:customStyle="1" w:styleId="ConsPlusNormal">
    <w:name w:val="ConsPlusNormal"/>
    <w:qFormat/>
    <w:rsid w:val="00226CC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7">
    <w:name w:val="footnote text"/>
    <w:basedOn w:val="a"/>
    <w:link w:val="a8"/>
    <w:uiPriority w:val="99"/>
    <w:semiHidden/>
    <w:unhideWhenUsed/>
    <w:rsid w:val="00C82FC0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8">
    <w:name w:val="Текст сноски Знак"/>
    <w:basedOn w:val="a0"/>
    <w:link w:val="a7"/>
    <w:uiPriority w:val="99"/>
    <w:semiHidden/>
    <w:rsid w:val="00C82FC0"/>
    <w:rPr>
      <w:rFonts w:ascii="Calibri" w:eastAsia="Calibri" w:hAnsi="Calibri" w:cs="Times New Roman"/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unhideWhenUsed/>
    <w:rsid w:val="00C82FC0"/>
    <w:rPr>
      <w:vertAlign w:val="superscript"/>
    </w:rPr>
  </w:style>
  <w:style w:type="table" w:styleId="aa">
    <w:name w:val="Table Grid"/>
    <w:basedOn w:val="a1"/>
    <w:uiPriority w:val="39"/>
    <w:rsid w:val="00C82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7750&amp;dst=100019" TargetMode="External"/><Relationship Id="rId13" Type="http://schemas.openxmlformats.org/officeDocument/2006/relationships/hyperlink" Target="https://login.consultant.ru/link/?req=doc&amp;base=RZR&amp;n=12453&amp;dst=100163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477750&amp;dst=10001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00887&amp;dst=100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uprit.ru" TargetMode="External"/><Relationship Id="rId10" Type="http://schemas.openxmlformats.org/officeDocument/2006/relationships/hyperlink" Target="https://login.consultant.ru/link/?req=doc&amp;base=RZR&amp;n=500887&amp;dst=10007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7750&amp;dst=100019" TargetMode="External"/><Relationship Id="rId14" Type="http://schemas.openxmlformats.org/officeDocument/2006/relationships/hyperlink" Target="https://login.consultant.ru/link/?req=doc&amp;base=RZR&amp;n=511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2A125-EA74-4565-8CF5-7A959E53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4433</Words>
  <Characters>25271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REGOPERATOR143</dc:creator>
  <cp:keywords/>
  <dc:description/>
  <cp:lastModifiedBy>REGOPERATOR98</cp:lastModifiedBy>
  <cp:revision>56</cp:revision>
  <cp:lastPrinted>2025-09-18T06:24:00Z</cp:lastPrinted>
  <dcterms:created xsi:type="dcterms:W3CDTF">2025-10-14T06:45:00Z</dcterms:created>
  <dcterms:modified xsi:type="dcterms:W3CDTF">2025-10-17T11:57:00Z</dcterms:modified>
</cp:coreProperties>
</file>